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zástupce ve věcech technických: Ing. Karel Vévar,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288C5815" w14:textId="1D722D11" w:rsidR="00A162A4" w:rsidRDefault="003E04A2" w:rsidP="00852CC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Dílo dle této smlouvy</w:t>
      </w:r>
      <w:r w:rsidR="00852CC4">
        <w:rPr>
          <w:rFonts w:ascii="Arial" w:hAnsi="Arial" w:cs="Arial"/>
          <w:sz w:val="22"/>
          <w:szCs w:val="22"/>
        </w:rPr>
        <w:t xml:space="preserve"> spočívá v </w:t>
      </w:r>
      <w:r w:rsidR="001B6F18" w:rsidRPr="001B6F18">
        <w:rPr>
          <w:rFonts w:ascii="Arial" w:hAnsi="Arial" w:cs="Arial"/>
          <w:sz w:val="22"/>
          <w:szCs w:val="22"/>
        </w:rPr>
        <w:t>„</w:t>
      </w:r>
      <w:r w:rsidR="0036639A" w:rsidRPr="0036639A">
        <w:rPr>
          <w:rFonts w:ascii="Arial" w:hAnsi="Arial" w:cs="Arial"/>
          <w:b/>
          <w:sz w:val="22"/>
          <w:szCs w:val="22"/>
        </w:rPr>
        <w:t>Realizace dešťové kanalizace ul. Štefánikova</w:t>
      </w:r>
      <w:r w:rsidR="001B6F18" w:rsidRPr="001B6F18">
        <w:rPr>
          <w:rFonts w:ascii="Arial" w:hAnsi="Arial" w:cs="Arial"/>
          <w:sz w:val="22"/>
          <w:szCs w:val="22"/>
        </w:rPr>
        <w:t>“</w:t>
      </w:r>
      <w:r w:rsidR="00852CC4" w:rsidRPr="00852CC4">
        <w:rPr>
          <w:rFonts w:ascii="Arial" w:hAnsi="Arial" w:cs="Arial"/>
          <w:sz w:val="22"/>
          <w:szCs w:val="22"/>
        </w:rPr>
        <w:t xml:space="preserve">. </w:t>
      </w:r>
    </w:p>
    <w:p w14:paraId="25A05DA3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52A5EC7E" w14:textId="65510298" w:rsidR="00B372F9" w:rsidRPr="0036639A" w:rsidRDefault="00FD0FEC" w:rsidP="0036639A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A162A4" w:rsidRPr="00A162A4">
        <w:rPr>
          <w:rFonts w:ascii="Arial" w:hAnsi="Arial" w:cs="Arial"/>
          <w:sz w:val="22"/>
          <w:szCs w:val="22"/>
        </w:rPr>
        <w:t>zadávací dokumentací</w:t>
      </w:r>
      <w:r w:rsidR="0036639A">
        <w:rPr>
          <w:rFonts w:ascii="Arial" w:hAnsi="Arial" w:cs="Arial"/>
          <w:sz w:val="22"/>
          <w:szCs w:val="22"/>
        </w:rPr>
        <w:t xml:space="preserve"> a</w:t>
      </w:r>
      <w:r w:rsidR="00A162A4" w:rsidRPr="00A162A4">
        <w:rPr>
          <w:rFonts w:ascii="Arial" w:hAnsi="Arial" w:cs="Arial"/>
          <w:sz w:val="22"/>
          <w:szCs w:val="22"/>
        </w:rPr>
        <w:t xml:space="preserve"> </w:t>
      </w:r>
      <w:r w:rsidR="001B6F18">
        <w:rPr>
          <w:rFonts w:ascii="Arial" w:hAnsi="Arial" w:cs="Arial"/>
          <w:sz w:val="22"/>
          <w:szCs w:val="22"/>
        </w:rPr>
        <w:t>projektov</w:t>
      </w:r>
      <w:r w:rsidR="0036639A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6639A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6639A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6639A">
        <w:rPr>
          <w:rFonts w:ascii="Arial" w:hAnsi="Arial" w:cs="Arial"/>
          <w:sz w:val="22"/>
          <w:szCs w:val="22"/>
        </w:rPr>
        <w:t xml:space="preserve"> </w:t>
      </w:r>
      <w:r w:rsidR="001B6F18" w:rsidRPr="001B6F18">
        <w:rPr>
          <w:rFonts w:ascii="Arial" w:hAnsi="Arial" w:cs="Arial"/>
          <w:sz w:val="22"/>
          <w:szCs w:val="22"/>
        </w:rPr>
        <w:t>„</w:t>
      </w:r>
      <w:r w:rsidR="0036639A">
        <w:rPr>
          <w:rFonts w:ascii="Arial" w:hAnsi="Arial" w:cs="Arial"/>
          <w:sz w:val="22"/>
          <w:szCs w:val="22"/>
        </w:rPr>
        <w:t>K</w:t>
      </w:r>
      <w:r w:rsidR="0036639A" w:rsidRPr="0036639A">
        <w:rPr>
          <w:rFonts w:ascii="Arial" w:hAnsi="Arial" w:cs="Arial"/>
          <w:sz w:val="22"/>
          <w:szCs w:val="22"/>
        </w:rPr>
        <w:t xml:space="preserve">analizace </w:t>
      </w:r>
      <w:r w:rsidR="0036639A">
        <w:rPr>
          <w:rFonts w:ascii="Arial" w:hAnsi="Arial" w:cs="Arial"/>
          <w:sz w:val="22"/>
          <w:szCs w:val="22"/>
        </w:rPr>
        <w:t xml:space="preserve">na </w:t>
      </w:r>
      <w:r w:rsidR="0036639A" w:rsidRPr="0036639A">
        <w:rPr>
          <w:rFonts w:ascii="Arial" w:hAnsi="Arial" w:cs="Arial"/>
          <w:sz w:val="22"/>
          <w:szCs w:val="22"/>
        </w:rPr>
        <w:t>ul. Štefánikova</w:t>
      </w:r>
      <w:r w:rsidR="001B6F18" w:rsidRPr="001B6F18">
        <w:rPr>
          <w:rFonts w:ascii="Arial" w:hAnsi="Arial" w:cs="Arial"/>
          <w:sz w:val="22"/>
          <w:szCs w:val="22"/>
        </w:rPr>
        <w:t xml:space="preserve">“. Zpracovatelem PD je </w:t>
      </w:r>
      <w:r w:rsidR="0036639A" w:rsidRPr="0036639A">
        <w:rPr>
          <w:rFonts w:ascii="Arial" w:hAnsi="Arial" w:cs="Arial"/>
          <w:sz w:val="22"/>
          <w:szCs w:val="22"/>
        </w:rPr>
        <w:t>WATER DESIGN</w:t>
      </w:r>
      <w:r w:rsidR="0036639A">
        <w:rPr>
          <w:rFonts w:ascii="Arial" w:hAnsi="Arial" w:cs="Arial"/>
          <w:sz w:val="22"/>
          <w:szCs w:val="22"/>
        </w:rPr>
        <w:t xml:space="preserve"> </w:t>
      </w:r>
      <w:r w:rsidR="0036639A" w:rsidRPr="0036639A">
        <w:rPr>
          <w:rFonts w:ascii="Arial" w:hAnsi="Arial" w:cs="Arial"/>
          <w:sz w:val="22"/>
          <w:szCs w:val="22"/>
        </w:rPr>
        <w:t>Group LTD</w:t>
      </w:r>
      <w:r w:rsidR="001B6F18" w:rsidRPr="001B6F18">
        <w:rPr>
          <w:rFonts w:ascii="Arial" w:hAnsi="Arial" w:cs="Arial"/>
          <w:sz w:val="22"/>
          <w:szCs w:val="22"/>
        </w:rPr>
        <w:t xml:space="preserve">, </w:t>
      </w:r>
      <w:r w:rsidR="0036639A" w:rsidRPr="0036639A">
        <w:rPr>
          <w:rFonts w:ascii="Arial" w:hAnsi="Arial" w:cs="Arial"/>
          <w:sz w:val="22"/>
          <w:szCs w:val="22"/>
        </w:rPr>
        <w:t>odštěpný závod</w:t>
      </w:r>
      <w:r w:rsidR="0036639A">
        <w:rPr>
          <w:rFonts w:ascii="Arial" w:hAnsi="Arial" w:cs="Arial"/>
          <w:sz w:val="22"/>
          <w:szCs w:val="22"/>
        </w:rPr>
        <w:t xml:space="preserve"> </w:t>
      </w:r>
      <w:r w:rsidR="0036639A" w:rsidRPr="0036639A">
        <w:rPr>
          <w:rFonts w:ascii="Arial" w:hAnsi="Arial" w:cs="Arial"/>
          <w:sz w:val="22"/>
          <w:szCs w:val="22"/>
        </w:rPr>
        <w:t>CZ-130 00 PRAHA 3, BOŘIVOJOVA 878/35</w:t>
      </w:r>
      <w:r w:rsidR="0036639A">
        <w:rPr>
          <w:rFonts w:ascii="Arial" w:hAnsi="Arial" w:cs="Arial"/>
          <w:sz w:val="22"/>
          <w:szCs w:val="22"/>
        </w:rPr>
        <w:t>, Ing. Semerád</w:t>
      </w:r>
      <w:r w:rsidR="001B6F18" w:rsidRPr="0036639A">
        <w:rPr>
          <w:rFonts w:ascii="Arial" w:hAnsi="Arial" w:cs="Arial"/>
          <w:sz w:val="22"/>
          <w:szCs w:val="22"/>
        </w:rPr>
        <w:t>.</w:t>
      </w:r>
      <w:r w:rsidR="001B6F18" w:rsidRPr="0036639A">
        <w:rPr>
          <w:rFonts w:ascii="Arial" w:hAnsi="Arial" w:cs="Arial"/>
          <w:sz w:val="22"/>
          <w:szCs w:val="22"/>
        </w:rPr>
        <w:br/>
      </w:r>
    </w:p>
    <w:p w14:paraId="082CA1F5" w14:textId="32D59D0B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 xml:space="preserve">soupisu projektových dokumentací </w:t>
      </w:r>
      <w:r w:rsidR="00A32BF1">
        <w:rPr>
          <w:rFonts w:ascii="Arial" w:hAnsi="Arial" w:cs="Arial"/>
          <w:sz w:val="22"/>
          <w:szCs w:val="22"/>
        </w:rPr>
        <w:t xml:space="preserve">a </w:t>
      </w:r>
      <w:r w:rsidRPr="00A162A4">
        <w:rPr>
          <w:rFonts w:ascii="Arial" w:hAnsi="Arial" w:cs="Arial"/>
          <w:sz w:val="22"/>
          <w:szCs w:val="22"/>
        </w:rPr>
        <w:t>v souladu s</w:t>
      </w:r>
      <w:r w:rsidR="001B6F18">
        <w:rPr>
          <w:rFonts w:ascii="Arial" w:hAnsi="Arial" w:cs="Arial"/>
          <w:sz w:val="22"/>
          <w:szCs w:val="22"/>
        </w:rPr>
        <w:t xml:space="preserve"> </w:t>
      </w:r>
      <w:r w:rsidR="007C735F">
        <w:rPr>
          <w:rFonts w:ascii="Arial" w:hAnsi="Arial" w:cs="Arial"/>
          <w:sz w:val="22"/>
          <w:szCs w:val="22"/>
        </w:rPr>
        <w:t>Rozhodnutím o </w:t>
      </w:r>
      <w:r w:rsidR="001B6F18">
        <w:rPr>
          <w:rFonts w:ascii="Arial" w:hAnsi="Arial" w:cs="Arial"/>
          <w:sz w:val="22"/>
          <w:szCs w:val="22"/>
        </w:rPr>
        <w:t xml:space="preserve">schválení stavebního záměru </w:t>
      </w:r>
      <w:r w:rsidRPr="00A162A4">
        <w:rPr>
          <w:rFonts w:ascii="Arial" w:hAnsi="Arial" w:cs="Arial"/>
          <w:sz w:val="22"/>
          <w:szCs w:val="22"/>
        </w:rPr>
        <w:t xml:space="preserve">vydaným </w:t>
      </w:r>
      <w:r w:rsidR="001B6F18">
        <w:rPr>
          <w:rFonts w:ascii="Arial" w:hAnsi="Arial" w:cs="Arial"/>
          <w:sz w:val="22"/>
          <w:szCs w:val="22"/>
        </w:rPr>
        <w:t xml:space="preserve">MěÚ Šlapanice </w:t>
      </w:r>
      <w:r w:rsidR="0036639A" w:rsidRPr="0036639A">
        <w:rPr>
          <w:rFonts w:ascii="Arial" w:hAnsi="Arial" w:cs="Arial"/>
          <w:sz w:val="22"/>
          <w:szCs w:val="22"/>
        </w:rPr>
        <w:t xml:space="preserve">OŽP/22113-2022/SKR </w:t>
      </w:r>
      <w:r w:rsidR="00A32BF1">
        <w:rPr>
          <w:rFonts w:ascii="Arial" w:hAnsi="Arial" w:cs="Arial"/>
          <w:sz w:val="22"/>
          <w:szCs w:val="22"/>
        </w:rPr>
        <w:t xml:space="preserve">dne </w:t>
      </w:r>
      <w:r w:rsidR="0036639A">
        <w:rPr>
          <w:rFonts w:ascii="Arial" w:hAnsi="Arial" w:cs="Arial"/>
          <w:sz w:val="22"/>
          <w:szCs w:val="22"/>
        </w:rPr>
        <w:t>2</w:t>
      </w:r>
      <w:r w:rsidR="00A32BF1">
        <w:rPr>
          <w:rFonts w:ascii="Arial" w:hAnsi="Arial" w:cs="Arial"/>
          <w:sz w:val="22"/>
          <w:szCs w:val="22"/>
        </w:rPr>
        <w:t xml:space="preserve">1. </w:t>
      </w:r>
      <w:r w:rsidR="0036639A">
        <w:rPr>
          <w:rFonts w:ascii="Arial" w:hAnsi="Arial" w:cs="Arial"/>
          <w:sz w:val="22"/>
          <w:szCs w:val="22"/>
        </w:rPr>
        <w:t>11</w:t>
      </w:r>
      <w:r w:rsidR="000E0ED8">
        <w:rPr>
          <w:rFonts w:ascii="Arial" w:hAnsi="Arial" w:cs="Arial"/>
          <w:sz w:val="22"/>
          <w:szCs w:val="22"/>
        </w:rPr>
        <w:t>.</w:t>
      </w:r>
      <w:r w:rsidR="00A32BF1">
        <w:rPr>
          <w:rFonts w:ascii="Arial" w:hAnsi="Arial" w:cs="Arial"/>
          <w:sz w:val="22"/>
          <w:szCs w:val="22"/>
        </w:rPr>
        <w:t xml:space="preserve"> </w:t>
      </w:r>
      <w:r w:rsidR="000E0ED8">
        <w:rPr>
          <w:rFonts w:ascii="Arial" w:hAnsi="Arial" w:cs="Arial"/>
          <w:sz w:val="22"/>
          <w:szCs w:val="22"/>
        </w:rPr>
        <w:t>202</w:t>
      </w:r>
      <w:r w:rsidR="0036639A">
        <w:rPr>
          <w:rFonts w:ascii="Arial" w:hAnsi="Arial" w:cs="Arial"/>
          <w:sz w:val="22"/>
          <w:szCs w:val="22"/>
        </w:rPr>
        <w:t>2</w:t>
      </w:r>
      <w:r w:rsidR="000E0ED8">
        <w:rPr>
          <w:rFonts w:ascii="Arial" w:hAnsi="Arial" w:cs="Arial"/>
          <w:sz w:val="22"/>
          <w:szCs w:val="22"/>
        </w:rPr>
        <w:t>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>Součástí předmětu díla je veškerá činnost zhotovitele nezbytná k provádění předmětu díla a ke zdárnému a kompletnímu dokončení díla, zejména:</w:t>
      </w:r>
    </w:p>
    <w:p w14:paraId="0A2D440C" w14:textId="223FE222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Vyt</w:t>
      </w:r>
      <w:r w:rsidR="00A32BF1">
        <w:rPr>
          <w:rFonts w:ascii="Arial" w:hAnsi="Arial" w:cs="Arial"/>
          <w:sz w:val="22"/>
          <w:szCs w:val="22"/>
        </w:rPr>
        <w:t>y</w:t>
      </w:r>
      <w:r w:rsidRPr="00F6763F">
        <w:rPr>
          <w:rFonts w:ascii="Arial" w:hAnsi="Arial" w:cs="Arial"/>
          <w:sz w:val="22"/>
          <w:szCs w:val="22"/>
        </w:rPr>
        <w:t>čení stávajících inženýrských sítí v místech dotčených realizací díla;</w:t>
      </w:r>
    </w:p>
    <w:p w14:paraId="118982AE" w14:textId="0D351ACF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Odvoz a </w:t>
      </w:r>
      <w:r w:rsidR="007C735F">
        <w:rPr>
          <w:rFonts w:ascii="Arial" w:hAnsi="Arial" w:cs="Arial"/>
          <w:sz w:val="22"/>
          <w:szCs w:val="22"/>
        </w:rPr>
        <w:t xml:space="preserve">uložení </w:t>
      </w:r>
      <w:r w:rsidRPr="00F6763F">
        <w:rPr>
          <w:rFonts w:ascii="Arial" w:hAnsi="Arial" w:cs="Arial"/>
          <w:sz w:val="22"/>
          <w:szCs w:val="22"/>
        </w:rPr>
        <w:t>přebytečného materiálu (zeminy) na řízenou skládku;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(.pdf) na datovém nosiči v počtu 1 ks textové a tabulkové části ve formátech .doc a .xls.);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378DAB1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 xml:space="preserve">zákona č. 185/2001 Sb., o odpadech;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54B070A9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F64F880" w14:textId="37216DEC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Zhotovitel je srozuměn se skutečností, že údaje o stávajících podzemních inženýrských sítích a stavebních objektech uvedených v projektové dokumentaci a v zadávací dokumentaci k veřejné zakázce</w:t>
      </w:r>
      <w:r w:rsidRPr="000E0ED8" w:rsidDel="00470CC6">
        <w:rPr>
          <w:rFonts w:ascii="Arial" w:hAnsi="Arial" w:cs="Arial"/>
          <w:sz w:val="22"/>
          <w:szCs w:val="22"/>
        </w:rPr>
        <w:t xml:space="preserve"> </w:t>
      </w:r>
      <w:r w:rsidRPr="000E0ED8">
        <w:rPr>
          <w:rFonts w:ascii="Arial" w:hAnsi="Arial" w:cs="Arial"/>
          <w:sz w:val="22"/>
          <w:szCs w:val="22"/>
        </w:rPr>
        <w:t>nemusí být přesné a úplné. Zhotovitel provede prověření a vyt</w:t>
      </w:r>
      <w:r w:rsidR="00082F25">
        <w:rPr>
          <w:rFonts w:ascii="Arial" w:hAnsi="Arial" w:cs="Arial"/>
          <w:sz w:val="22"/>
          <w:szCs w:val="22"/>
        </w:rPr>
        <w:t>y</w:t>
      </w:r>
      <w:r w:rsidRPr="000E0ED8">
        <w:rPr>
          <w:rFonts w:ascii="Arial" w:hAnsi="Arial" w:cs="Arial"/>
          <w:sz w:val="22"/>
          <w:szCs w:val="22"/>
        </w:rPr>
        <w:t>čení inženýrských sítí ve spolupráci se správci těchto sítí a přijme taková opatření, aby nedošlo k jejich poškození během provádění díla</w:t>
      </w:r>
      <w:r>
        <w:rPr>
          <w:rFonts w:ascii="Arial" w:hAnsi="Arial" w:cs="Arial"/>
          <w:sz w:val="22"/>
          <w:szCs w:val="22"/>
        </w:rPr>
        <w:t>.</w:t>
      </w:r>
    </w:p>
    <w:p w14:paraId="18037BB0" w14:textId="77777777" w:rsidR="005C4C45" w:rsidRPr="005C4C45" w:rsidRDefault="005C4C45" w:rsidP="005C4C4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7777777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7530AF">
        <w:rPr>
          <w:rFonts w:ascii="Arial" w:hAnsi="Arial" w:cs="Arial"/>
          <w:sz w:val="22"/>
          <w:szCs w:val="22"/>
        </w:rPr>
        <w:t>bezprostředně po</w:t>
      </w:r>
      <w:r w:rsidRPr="007530AF">
        <w:rPr>
          <w:rFonts w:ascii="Arial" w:hAnsi="Arial" w:cs="Arial"/>
          <w:sz w:val="22"/>
          <w:szCs w:val="22"/>
        </w:rPr>
        <w:t xml:space="preserve"> uzavření této smlouvy.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60952A76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401C3B">
        <w:rPr>
          <w:rFonts w:ascii="Arial" w:hAnsi="Arial" w:cs="Arial"/>
          <w:sz w:val="22"/>
          <w:szCs w:val="22"/>
        </w:rPr>
        <w:t>30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07231D">
        <w:rPr>
          <w:rFonts w:ascii="Arial" w:hAnsi="Arial" w:cs="Arial"/>
          <w:sz w:val="22"/>
          <w:szCs w:val="22"/>
        </w:rPr>
        <w:t>6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36639A">
        <w:rPr>
          <w:rFonts w:ascii="Arial" w:hAnsi="Arial" w:cs="Arial"/>
          <w:sz w:val="22"/>
          <w:szCs w:val="22"/>
        </w:rPr>
        <w:t>3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lastRenderedPageBreak/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7017D11E" w:rsidR="00DD52D5" w:rsidRPr="007530AF" w:rsidRDefault="00E62DF9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6F18">
              <w:rPr>
                <w:rFonts w:ascii="Arial" w:hAnsi="Arial" w:cs="Arial"/>
                <w:sz w:val="22"/>
                <w:szCs w:val="22"/>
              </w:rPr>
              <w:t>„</w:t>
            </w:r>
            <w:r w:rsidR="0036639A" w:rsidRPr="0036639A">
              <w:rPr>
                <w:rFonts w:ascii="Arial" w:hAnsi="Arial" w:cs="Arial"/>
                <w:b/>
                <w:sz w:val="22"/>
                <w:szCs w:val="22"/>
              </w:rPr>
              <w:t>Realizace dešťové kanalizace ul. Štefánikova</w:t>
            </w:r>
            <w:r w:rsidRPr="001B6F18">
              <w:rPr>
                <w:rFonts w:ascii="Arial" w:hAnsi="Arial" w:cs="Arial"/>
                <w:sz w:val="22"/>
                <w:szCs w:val="22"/>
              </w:rPr>
              <w:t>“</w:t>
            </w:r>
            <w:r w:rsidRPr="00852CC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>tečnění zdanitelného plnění, 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5C4C45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5C4C45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A82DDC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08D339B8" w14:textId="77777777" w:rsidR="00A82DDC" w:rsidRPr="005B4739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>Zhotovitel je oprávněn vyúčtovat sjednanou cenu 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 xml:space="preserve">předání díla </w:t>
      </w:r>
    </w:p>
    <w:p w14:paraId="2A5A01D7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0E67C60E" w:rsidR="00A82DDC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Jako podklad pro uznání oprávněnosti faktury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Splatnost faktury je minimálně 30 dnů ode dne jejího doručení objednateli.</w:t>
      </w:r>
    </w:p>
    <w:p w14:paraId="11CC75D8" w14:textId="77777777" w:rsidR="00A82DDC" w:rsidRPr="003D4C3A" w:rsidRDefault="00A82DDC" w:rsidP="00A82DDC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 xml:space="preserve">staveništi o pracích, které provádí sám nebo jeho dodavatelé. Povinnost vést </w:t>
      </w:r>
      <w:r w:rsidRPr="00464253">
        <w:rPr>
          <w:rFonts w:ascii="Arial" w:hAnsi="Arial" w:cs="Arial"/>
          <w:sz w:val="22"/>
          <w:szCs w:val="22"/>
        </w:rPr>
        <w:lastRenderedPageBreak/>
        <w:t>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lastRenderedPageBreak/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77777777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Zhotovitel </w:t>
      </w:r>
      <w:r w:rsidRPr="00464253">
        <w:rPr>
          <w:rFonts w:ascii="Arial" w:hAnsi="Arial" w:cs="Arial"/>
          <w:sz w:val="22"/>
          <w:szCs w:val="22"/>
        </w:rPr>
        <w:t>nese odpovědnost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 </w:t>
      </w:r>
      <w:r w:rsidRPr="00464253">
        <w:rPr>
          <w:rFonts w:ascii="Arial" w:hAnsi="Arial" w:cs="Arial"/>
          <w:sz w:val="22"/>
          <w:szCs w:val="22"/>
        </w:rPr>
        <w:t>újmy (</w:t>
      </w:r>
      <w:r w:rsidRPr="00464253">
        <w:rPr>
          <w:rFonts w:ascii="Arial" w:hAnsi="Arial" w:cs="Arial"/>
          <w:sz w:val="22"/>
          <w:szCs w:val="22"/>
          <w:lang w:val="x-none"/>
        </w:rPr>
        <w:t>škody</w:t>
      </w:r>
      <w:r w:rsidRPr="00464253">
        <w:rPr>
          <w:rFonts w:ascii="Arial" w:hAnsi="Arial" w:cs="Arial"/>
          <w:sz w:val="22"/>
          <w:szCs w:val="22"/>
        </w:rPr>
        <w:t>)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způsobené objednateli a jiným osobám mimo staveniště a tyto škody se zavazuje </w:t>
      </w:r>
      <w:r w:rsidRPr="00464253">
        <w:rPr>
          <w:rFonts w:ascii="Arial" w:hAnsi="Arial" w:cs="Arial"/>
          <w:sz w:val="22"/>
          <w:szCs w:val="22"/>
        </w:rPr>
        <w:t>zaplatit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ve lhůtě, kterou stanoví objednatel v písemném oznámení o škodě mimo staveniště.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 xml:space="preserve">(dále jen „ZoBP“),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r w:rsidR="00840660">
        <w:rPr>
          <w:rFonts w:ascii="Arial" w:hAnsi="Arial" w:cs="Arial"/>
          <w:sz w:val="22"/>
          <w:szCs w:val="22"/>
        </w:rPr>
        <w:t>ZoBP</w:t>
      </w:r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E144B2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2A86F6E" w:rsidR="00E144B2" w:rsidRPr="008761D9" w:rsidRDefault="00E144B2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>V průběhu provádění díla budou konány kontrolní dny, a to minimálně 2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C56CE6F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8761D9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lastRenderedPageBreak/>
        <w:t>Součinnost objednatele</w:t>
      </w:r>
    </w:p>
    <w:p w14:paraId="6DBF2FFF" w14:textId="77777777" w:rsidR="00464253" w:rsidRPr="007530AF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464253">
      <w:pPr>
        <w:pStyle w:val="Odstavecseseznamem"/>
        <w:numPr>
          <w:ilvl w:val="0"/>
          <w:numId w:val="3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lastRenderedPageBreak/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r w:rsidR="00417E9C" w:rsidRPr="00587EE4">
        <w:rPr>
          <w:rFonts w:ascii="Arial" w:hAnsi="Arial" w:cs="Arial"/>
          <w:sz w:val="22"/>
          <w:szCs w:val="22"/>
        </w:rPr>
        <w:t>s  termínem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</w:t>
      </w:r>
      <w:r w:rsidR="006F4D3E" w:rsidRPr="007530AF">
        <w:rPr>
          <w:rFonts w:ascii="Arial" w:hAnsi="Arial" w:cs="Arial"/>
          <w:sz w:val="22"/>
          <w:szCs w:val="22"/>
        </w:rPr>
        <w:lastRenderedPageBreak/>
        <w:t>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54C0F6" w14:textId="3D989C4C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- Rozhodnutí</w:t>
      </w:r>
    </w:p>
    <w:p w14:paraId="20C07503" w14:textId="1E73B255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- Soubory PD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627CA9F6" w14:textId="1BA5B184" w:rsidR="006146CA" w:rsidRDefault="00C87FA0" w:rsidP="00C87FA0">
      <w:pPr>
        <w:jc w:val="both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 </w:t>
      </w:r>
    </w:p>
    <w:p w14:paraId="6E14388E" w14:textId="77777777" w:rsidR="00005E88" w:rsidRPr="007530AF" w:rsidRDefault="00005E88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5A0030AD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BA62" w14:textId="77777777" w:rsidR="00D1179F" w:rsidRDefault="00D1179F" w:rsidP="00E7704B">
      <w:r>
        <w:separator/>
      </w:r>
    </w:p>
  </w:endnote>
  <w:endnote w:type="continuationSeparator" w:id="0">
    <w:p w14:paraId="0FB621E3" w14:textId="77777777" w:rsidR="00D1179F" w:rsidRDefault="00D1179F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D46">
          <w:rPr>
            <w:noProof/>
          </w:rPr>
          <w:t>1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DFCC" w14:textId="77777777" w:rsidR="00D1179F" w:rsidRDefault="00D1179F" w:rsidP="00E7704B">
      <w:r>
        <w:separator/>
      </w:r>
    </w:p>
  </w:footnote>
  <w:footnote w:type="continuationSeparator" w:id="0">
    <w:p w14:paraId="11F62175" w14:textId="77777777" w:rsidR="00D1179F" w:rsidRDefault="00D1179F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156743">
    <w:abstractNumId w:val="16"/>
  </w:num>
  <w:num w:numId="2" w16cid:durableId="607003587">
    <w:abstractNumId w:val="38"/>
  </w:num>
  <w:num w:numId="3" w16cid:durableId="1649361472">
    <w:abstractNumId w:val="7"/>
  </w:num>
  <w:num w:numId="4" w16cid:durableId="41488429">
    <w:abstractNumId w:val="1"/>
  </w:num>
  <w:num w:numId="5" w16cid:durableId="1461872826">
    <w:abstractNumId w:val="14"/>
  </w:num>
  <w:num w:numId="6" w16cid:durableId="862211927">
    <w:abstractNumId w:val="41"/>
  </w:num>
  <w:num w:numId="7" w16cid:durableId="926420455">
    <w:abstractNumId w:val="4"/>
  </w:num>
  <w:num w:numId="8" w16cid:durableId="322514070">
    <w:abstractNumId w:val="17"/>
  </w:num>
  <w:num w:numId="9" w16cid:durableId="1127971643">
    <w:abstractNumId w:val="22"/>
  </w:num>
  <w:num w:numId="10" w16cid:durableId="1392077281">
    <w:abstractNumId w:val="26"/>
  </w:num>
  <w:num w:numId="11" w16cid:durableId="1280599460">
    <w:abstractNumId w:val="36"/>
  </w:num>
  <w:num w:numId="12" w16cid:durableId="1039277692">
    <w:abstractNumId w:val="34"/>
  </w:num>
  <w:num w:numId="13" w16cid:durableId="1917086100">
    <w:abstractNumId w:val="8"/>
  </w:num>
  <w:num w:numId="14" w16cid:durableId="20740480">
    <w:abstractNumId w:val="3"/>
  </w:num>
  <w:num w:numId="15" w16cid:durableId="782774284">
    <w:abstractNumId w:val="6"/>
  </w:num>
  <w:num w:numId="16" w16cid:durableId="1366128616">
    <w:abstractNumId w:val="12"/>
  </w:num>
  <w:num w:numId="17" w16cid:durableId="59209906">
    <w:abstractNumId w:val="37"/>
  </w:num>
  <w:num w:numId="18" w16cid:durableId="1130855620">
    <w:abstractNumId w:val="35"/>
  </w:num>
  <w:num w:numId="19" w16cid:durableId="20133052">
    <w:abstractNumId w:val="24"/>
  </w:num>
  <w:num w:numId="20" w16cid:durableId="466432158">
    <w:abstractNumId w:val="31"/>
  </w:num>
  <w:num w:numId="21" w16cid:durableId="1564441537">
    <w:abstractNumId w:val="19"/>
  </w:num>
  <w:num w:numId="22" w16cid:durableId="730662121">
    <w:abstractNumId w:val="23"/>
  </w:num>
  <w:num w:numId="23" w16cid:durableId="992638532">
    <w:abstractNumId w:val="42"/>
  </w:num>
  <w:num w:numId="24" w16cid:durableId="1359504970">
    <w:abstractNumId w:val="33"/>
  </w:num>
  <w:num w:numId="25" w16cid:durableId="1022172623">
    <w:abstractNumId w:val="25"/>
  </w:num>
  <w:num w:numId="26" w16cid:durableId="1209490771">
    <w:abstractNumId w:val="20"/>
  </w:num>
  <w:num w:numId="27" w16cid:durableId="606814471">
    <w:abstractNumId w:val="28"/>
  </w:num>
  <w:num w:numId="28" w16cid:durableId="1200630261">
    <w:abstractNumId w:val="21"/>
  </w:num>
  <w:num w:numId="29" w16cid:durableId="751782226">
    <w:abstractNumId w:val="9"/>
  </w:num>
  <w:num w:numId="30" w16cid:durableId="1121536490">
    <w:abstractNumId w:val="18"/>
  </w:num>
  <w:num w:numId="31" w16cid:durableId="2006475378">
    <w:abstractNumId w:val="30"/>
  </w:num>
  <w:num w:numId="32" w16cid:durableId="1727876161">
    <w:abstractNumId w:val="15"/>
  </w:num>
  <w:num w:numId="33" w16cid:durableId="245267991">
    <w:abstractNumId w:val="10"/>
  </w:num>
  <w:num w:numId="34" w16cid:durableId="890967395">
    <w:abstractNumId w:val="29"/>
  </w:num>
  <w:num w:numId="35" w16cid:durableId="1046181441">
    <w:abstractNumId w:val="40"/>
  </w:num>
  <w:num w:numId="36" w16cid:durableId="112598716">
    <w:abstractNumId w:val="11"/>
  </w:num>
  <w:num w:numId="37" w16cid:durableId="1760977782">
    <w:abstractNumId w:val="32"/>
  </w:num>
  <w:num w:numId="38" w16cid:durableId="1599286086">
    <w:abstractNumId w:val="5"/>
  </w:num>
  <w:num w:numId="39" w16cid:durableId="812409178">
    <w:abstractNumId w:val="2"/>
  </w:num>
  <w:num w:numId="40" w16cid:durableId="909999803">
    <w:abstractNumId w:val="27"/>
  </w:num>
  <w:num w:numId="41" w16cid:durableId="897475593">
    <w:abstractNumId w:val="13"/>
  </w:num>
  <w:num w:numId="42" w16cid:durableId="894657205">
    <w:abstractNumId w:val="39"/>
  </w:num>
  <w:num w:numId="43" w16cid:durableId="227306245">
    <w:abstractNumId w:val="0"/>
  </w:num>
  <w:num w:numId="44" w16cid:durableId="19686633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EC6"/>
    <w:rsid w:val="0000470A"/>
    <w:rsid w:val="00005E88"/>
    <w:rsid w:val="00023A8C"/>
    <w:rsid w:val="000520C2"/>
    <w:rsid w:val="00055A42"/>
    <w:rsid w:val="0007231D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117CB8"/>
    <w:rsid w:val="00166384"/>
    <w:rsid w:val="00173C87"/>
    <w:rsid w:val="00183006"/>
    <w:rsid w:val="001838F1"/>
    <w:rsid w:val="001B6F18"/>
    <w:rsid w:val="001C23CD"/>
    <w:rsid w:val="001E0913"/>
    <w:rsid w:val="001F0D40"/>
    <w:rsid w:val="00207F8B"/>
    <w:rsid w:val="00245A36"/>
    <w:rsid w:val="00265B6B"/>
    <w:rsid w:val="00275938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4584E"/>
    <w:rsid w:val="00347942"/>
    <w:rsid w:val="0036515D"/>
    <w:rsid w:val="0036639A"/>
    <w:rsid w:val="00371143"/>
    <w:rsid w:val="00386199"/>
    <w:rsid w:val="003C6A2C"/>
    <w:rsid w:val="003C7FD7"/>
    <w:rsid w:val="003E04A2"/>
    <w:rsid w:val="003E41D2"/>
    <w:rsid w:val="003E4F55"/>
    <w:rsid w:val="00401C3B"/>
    <w:rsid w:val="00417E9C"/>
    <w:rsid w:val="00422B40"/>
    <w:rsid w:val="00464253"/>
    <w:rsid w:val="004659EB"/>
    <w:rsid w:val="004834E9"/>
    <w:rsid w:val="00485AED"/>
    <w:rsid w:val="004A3E0E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6146CA"/>
    <w:rsid w:val="00641311"/>
    <w:rsid w:val="006534D1"/>
    <w:rsid w:val="006545AA"/>
    <w:rsid w:val="006550B5"/>
    <w:rsid w:val="00660F44"/>
    <w:rsid w:val="006775E1"/>
    <w:rsid w:val="006B365B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530AF"/>
    <w:rsid w:val="00777D5F"/>
    <w:rsid w:val="00787B0C"/>
    <w:rsid w:val="00792928"/>
    <w:rsid w:val="00795B76"/>
    <w:rsid w:val="00796D46"/>
    <w:rsid w:val="007C735F"/>
    <w:rsid w:val="007C7B79"/>
    <w:rsid w:val="007D0BFB"/>
    <w:rsid w:val="007F669A"/>
    <w:rsid w:val="007F7F4E"/>
    <w:rsid w:val="00801C35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1C67"/>
    <w:rsid w:val="009B7D9F"/>
    <w:rsid w:val="009D767C"/>
    <w:rsid w:val="009F0C6E"/>
    <w:rsid w:val="009F2706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74873"/>
    <w:rsid w:val="00A82DDC"/>
    <w:rsid w:val="00AA01D0"/>
    <w:rsid w:val="00AC77E4"/>
    <w:rsid w:val="00AD020E"/>
    <w:rsid w:val="00AD7D45"/>
    <w:rsid w:val="00AE02CF"/>
    <w:rsid w:val="00B1259C"/>
    <w:rsid w:val="00B13A8B"/>
    <w:rsid w:val="00B14A92"/>
    <w:rsid w:val="00B313B8"/>
    <w:rsid w:val="00B372F9"/>
    <w:rsid w:val="00B37F1B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E2096"/>
    <w:rsid w:val="00BF4B70"/>
    <w:rsid w:val="00C204C1"/>
    <w:rsid w:val="00C51981"/>
    <w:rsid w:val="00C57CD0"/>
    <w:rsid w:val="00C71A74"/>
    <w:rsid w:val="00C71E0F"/>
    <w:rsid w:val="00C87FA0"/>
    <w:rsid w:val="00C95F24"/>
    <w:rsid w:val="00CC45B7"/>
    <w:rsid w:val="00CD4940"/>
    <w:rsid w:val="00CE40E7"/>
    <w:rsid w:val="00D1179F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6105"/>
    <w:rsid w:val="00E31114"/>
    <w:rsid w:val="00E33E7F"/>
    <w:rsid w:val="00E41AF9"/>
    <w:rsid w:val="00E62DF9"/>
    <w:rsid w:val="00E7704B"/>
    <w:rsid w:val="00E831E7"/>
    <w:rsid w:val="00E9452F"/>
    <w:rsid w:val="00EA59CB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6B02"/>
    <w:rsid w:val="00F51FB8"/>
    <w:rsid w:val="00F56053"/>
    <w:rsid w:val="00F62CFF"/>
    <w:rsid w:val="00F6763F"/>
    <w:rsid w:val="00F77084"/>
    <w:rsid w:val="00F83C49"/>
    <w:rsid w:val="00FB7AEE"/>
    <w:rsid w:val="00FD0FEC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15D4EB4E-C02B-498A-99AB-3A6C843D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2D741-A7D7-4C9B-B227-5B5AA7D8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4783</Words>
  <Characters>28220</Characters>
  <Application>Microsoft Office Word</Application>
  <DocSecurity>0</DocSecurity>
  <Lines>235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4</cp:revision>
  <cp:lastPrinted>2020-06-29T10:40:00Z</cp:lastPrinted>
  <dcterms:created xsi:type="dcterms:W3CDTF">2023-02-24T11:22:00Z</dcterms:created>
  <dcterms:modified xsi:type="dcterms:W3CDTF">2023-03-10T12:25:00Z</dcterms:modified>
</cp:coreProperties>
</file>