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edit"/>
        <w:ind w:left="0" w:hanging="0"/>
        <w:rPr>
          <w:rFonts w:eastAsia="Calibri"/>
        </w:rPr>
      </w:pPr>
      <w:r>
        <w:rPr>
          <w:rFonts w:eastAsia="Calibri"/>
        </w:rPr>
        <w:t>Čestné prohlášení</w:t>
        <w:br/>
        <w:t xml:space="preserve">o kvalifikaci </w:t>
      </w:r>
      <w:r>
        <w:rPr>
          <w:rFonts w:eastAsia="Calibri"/>
        </w:rPr>
        <w:t>(příloha č.5)</w:t>
      </w:r>
    </w:p>
    <w:tbl>
      <w:tblPr>
        <w:tblW w:w="9072" w:type="dxa"/>
        <w:jc w:val="left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0" w:lastRow="1" w:firstColumn="1" w:lastColumn="1" w:noHBand="0" w:val="01e0"/>
      </w:tblPr>
      <w:tblGrid>
        <w:gridCol w:w="2977"/>
        <w:gridCol w:w="6094"/>
      </w:tblGrid>
      <w:tr>
        <w:trPr>
          <w:trHeight w:val="340" w:hRule="atLeast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2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adpisZD"/>
              <w:widowControl w:val="false"/>
              <w:spacing w:before="0" w:after="0"/>
              <w:contextualSpacing/>
              <w:jc w:val="center"/>
              <w:rPr>
                <w:color w:val="auto"/>
              </w:rPr>
            </w:pPr>
            <w:r>
              <w:rPr>
                <w:b/>
                <w:color w:val="auto"/>
                <w:sz w:val="22"/>
                <w:szCs w:val="22"/>
              </w:rPr>
              <w:t>„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 w:themeShade="80"/>
                <w:sz w:val="28"/>
                <w:szCs w:val="28"/>
              </w:rPr>
              <w:t>Zpracování projektové dokumentace pro rozšíření hřbitova</w:t>
            </w:r>
            <w:r>
              <w:rPr>
                <w:b/>
                <w:smallCaps/>
                <w:color w:val="auto"/>
                <w:sz w:val="22"/>
                <w:szCs w:val="22"/>
              </w:rPr>
              <w:t>”</w:t>
            </w:r>
          </w:p>
          <w:p>
            <w:pPr>
              <w:pStyle w:val="Styl2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</w:r>
          </w:p>
        </w:tc>
      </w:tr>
      <w:tr>
        <w:trPr>
          <w:trHeight w:val="340" w:hRule="atLeast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2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851" w:hanging="85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2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b/>
                <w:color w:val="000000" w:themeColor="text1"/>
              </w:rPr>
            </w:pPr>
            <w:r>
              <w:rPr>
                <w:rStyle w:val="DoplnuchazeChar"/>
                <w:rFonts w:eastAsia="Calibri"/>
              </w:rPr>
              <w:t>[</w:t>
            </w:r>
            <w:r>
              <w:rPr>
                <w:rStyle w:val="DoplnuchazeChar"/>
                <w:rFonts w:eastAsia="Calibri"/>
                <w:i/>
              </w:rPr>
              <w:t>doplní účastník</w:t>
            </w:r>
            <w:r>
              <w:rPr>
                <w:rStyle w:val="DoplnuchazeChar"/>
                <w:rFonts w:eastAsia="Calibri"/>
              </w:rPr>
              <w:t>]</w:t>
            </w:r>
          </w:p>
        </w:tc>
      </w:tr>
    </w:tbl>
    <w:p>
      <w:pPr>
        <w:pStyle w:val="Psmena"/>
        <w:numPr>
          <w:ilvl w:val="0"/>
          <w:numId w:val="0"/>
        </w:numPr>
        <w:ind w:left="851" w:hanging="284"/>
        <w:rPr/>
      </w:pPr>
      <w:r>
        <w:rPr/>
      </w:r>
    </w:p>
    <w:p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>
        <w:rPr>
          <w:b/>
          <w:color w:val="auto"/>
          <w:sz w:val="22"/>
          <w:szCs w:val="22"/>
          <w:lang w:eastAsia="ar-SA"/>
        </w:rPr>
        <w:t xml:space="preserve">Čestně prohlašuji, že jako účastník o předmětnou veřejnou zakázku splňuji základní způsobilost, neboť nejsem dodavatelem, který: </w:t>
      </w:r>
    </w:p>
    <w:p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>
        <w:rPr>
          <w:b/>
          <w:color w:val="auto"/>
          <w:sz w:val="22"/>
          <w:szCs w:val="22"/>
          <w:lang w:eastAsia="ar-SA"/>
        </w:rPr>
      </w:r>
    </w:p>
    <w:p>
      <w:pPr>
        <w:pStyle w:val="Psmena"/>
        <w:numPr>
          <w:ilvl w:val="3"/>
          <w:numId w:val="9"/>
        </w:numPr>
        <w:spacing w:lineRule="atLeast" w:line="23"/>
        <w:ind w:left="851" w:hanging="284"/>
        <w:rPr/>
      </w:pPr>
      <w:r>
        <w:rPr/>
        <w:t>byl v zemi svého sídla v posledních 5 letech před zahájením výběrového řízení pravomocně odsouzen pro některý z těchto trestných činů:</w:t>
      </w:r>
    </w:p>
    <w:p>
      <w:pPr>
        <w:pStyle w:val="Podtitul"/>
        <w:spacing w:lineRule="atLeast" w:line="23" w:before="0" w:after="0"/>
        <w:rPr/>
      </w:pPr>
      <w:r>
        <w:rPr/>
        <w:t xml:space="preserve">A) trestný čin spáchaný ve prospěch organizované zločinecké skupiny nebo trestný čin účasti na organizované zločinecké skupině, </w:t>
      </w:r>
    </w:p>
    <w:p>
      <w:pPr>
        <w:pStyle w:val="Podtitul"/>
        <w:spacing w:lineRule="atLeast" w:line="23" w:before="0" w:after="0"/>
        <w:rPr/>
      </w:pPr>
      <w:r>
        <w:rPr/>
        <w:t xml:space="preserve">B) trestný čin obchodování s lidmi, </w:t>
      </w:r>
    </w:p>
    <w:p>
      <w:pPr>
        <w:pStyle w:val="Podtitul"/>
        <w:spacing w:lineRule="atLeast" w:line="23" w:before="0" w:after="0"/>
        <w:ind w:left="143" w:firstLine="708"/>
        <w:rPr/>
      </w:pPr>
      <w:r>
        <w:rPr/>
        <w:t xml:space="preserve">C) tyto trestné činy proti majetku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1. podvod,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2. úvěrový podvod,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3. dotační podvod,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4. podílnictví,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5. podílnictví z nedbalosti,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6. legalizace výnosů z trestné činnosti,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7. legalizace výnosů z trestné činnosti z nedbalosti, </w:t>
      </w:r>
    </w:p>
    <w:p>
      <w:pPr>
        <w:pStyle w:val="Podtitul"/>
        <w:spacing w:lineRule="atLeast" w:line="23" w:before="0" w:after="0"/>
        <w:rPr/>
      </w:pPr>
      <w:r>
        <w:rPr/>
        <w:t xml:space="preserve">D) tyto trestné činy hospodářské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1. zneužití informace a postavení v obchodním styku,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2. sjednání výhody při zadání veřejné zakázky, při veřejné soutěži a veřejné dražbě,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3. pletichy při zadání veřejné zakázky a při veřejné soutěži,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4. pletichy při veřejné dražbě,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5. poškození finančních zájmů Evropské unie, </w:t>
      </w:r>
    </w:p>
    <w:p>
      <w:pPr>
        <w:pStyle w:val="Podtitul"/>
        <w:spacing w:lineRule="atLeast" w:line="23" w:before="0" w:after="0"/>
        <w:rPr/>
      </w:pPr>
      <w:r>
        <w:rPr/>
        <w:t xml:space="preserve">E) trestné činy obecně nebezpečné, </w:t>
      </w:r>
    </w:p>
    <w:p>
      <w:pPr>
        <w:pStyle w:val="Podtitul"/>
        <w:spacing w:lineRule="atLeast" w:line="23" w:before="0" w:after="0"/>
        <w:rPr/>
      </w:pPr>
      <w:r>
        <w:rPr/>
        <w:t xml:space="preserve">F) trestné činy proti České republice, cizímu státu a mezinárodní organizaci, </w:t>
      </w:r>
    </w:p>
    <w:p>
      <w:pPr>
        <w:pStyle w:val="Podtitul"/>
        <w:spacing w:lineRule="atLeast" w:line="23" w:before="0" w:after="0"/>
        <w:rPr/>
      </w:pPr>
      <w:r>
        <w:rPr/>
        <w:t xml:space="preserve">G) tyto trestné činy proti pořádku ve věcech veřejných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1. trestné činy proti výkonu pravomoci orgánu veřejné moci a úřední osoby,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2. trestné činy úředních osob,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3. úplatkářství, </w:t>
      </w:r>
    </w:p>
    <w:p>
      <w:pPr>
        <w:pStyle w:val="Podtitul"/>
        <w:spacing w:lineRule="atLeast" w:line="23" w:before="0" w:after="0"/>
        <w:ind w:left="1134" w:hanging="0"/>
        <w:rPr/>
      </w:pPr>
      <w:r>
        <w:rPr/>
        <w:t xml:space="preserve">4. jiná rušení činnosti orgánu veřejné moci. </w:t>
      </w:r>
    </w:p>
    <w:p>
      <w:pPr>
        <w:pStyle w:val="Psmena"/>
        <w:numPr>
          <w:ilvl w:val="0"/>
          <w:numId w:val="0"/>
        </w:numPr>
        <w:spacing w:lineRule="atLeast" w:line="23"/>
        <w:ind w:left="851" w:hanging="0"/>
        <w:rPr/>
      </w:pPr>
      <w:r>
        <w:rPr/>
        <w:t xml:space="preserve">nebo obdobný trestný čin podle právního řádu země sídla dodavatele; k zahlazeným odsouzením se nepřihlíží, </w:t>
      </w:r>
    </w:p>
    <w:p>
      <w:pPr>
        <w:pStyle w:val="Psmena"/>
        <w:numPr>
          <w:ilvl w:val="3"/>
          <w:numId w:val="10"/>
        </w:numPr>
        <w:rPr/>
      </w:pPr>
      <w:r>
        <w:rPr/>
        <w:t xml:space="preserve">má v České republice nebo v zemi svého sídla v evidenci daní zachycen splatný daňový nedoplatek, </w:t>
      </w:r>
    </w:p>
    <w:p>
      <w:pPr>
        <w:pStyle w:val="Psmena"/>
        <w:numPr>
          <w:ilvl w:val="3"/>
          <w:numId w:val="11"/>
        </w:numPr>
        <w:rPr/>
      </w:pPr>
      <w:r>
        <w:rPr/>
        <w:t xml:space="preserve">má v České republice nebo v zemi svého sídla splatný nedoplatek na pojistném nebo na penále na veřejné zdravotní pojištění, </w:t>
      </w:r>
    </w:p>
    <w:p>
      <w:pPr>
        <w:pStyle w:val="Psmena"/>
        <w:numPr>
          <w:ilvl w:val="3"/>
          <w:numId w:val="12"/>
        </w:numPr>
        <w:rPr/>
      </w:pPr>
      <w:r>
        <w:rPr/>
        <w:t xml:space="preserve">má v České republice nebo v zemi svého sídla splatný nedoplatek na pojistném nebo na penále na sociální zabezpečení a příspěvku na státní politiku zaměstnanosti, </w:t>
      </w:r>
    </w:p>
    <w:p>
      <w:pPr>
        <w:pStyle w:val="Psmena"/>
        <w:numPr>
          <w:ilvl w:val="3"/>
          <w:numId w:val="13"/>
        </w:numPr>
        <w:rPr/>
      </w:pPr>
      <w:r>
        <w:rPr/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r:id="rId2">
        <w:r>
          <w:rPr/>
          <w:t>87/1995 Sb.</w:t>
        </w:r>
      </w:hyperlink>
      <w:r>
        <w:rPr/>
        <w:t xml:space="preserve">, o spořitelních a úvěrních družstvech a některých opatřeních s tím souvisejících a o doplnění zákona České národní rady č. </w:t>
      </w:r>
      <w:hyperlink r:id="rId3">
        <w:r>
          <w:rPr/>
          <w:t>586/1992 Sb.</w:t>
        </w:r>
      </w:hyperlink>
      <w:r>
        <w:rPr/>
        <w:t xml:space="preserve">, o daních z příjmů, ve znění pozdějších předpisů, zákon č. </w:t>
      </w:r>
      <w:hyperlink r:id="rId4">
        <w:r>
          <w:rPr/>
          <w:t>363/1999 Sb.</w:t>
        </w:r>
      </w:hyperlink>
      <w:r>
        <w:rPr/>
        <w:t xml:space="preserve">, o pojišťovnictví a o změně některých souvisejících zákonů) nebo v obdobné situaci podle právního řádu země sídla dodavatele. </w:t>
      </w:r>
    </w:p>
    <w:p>
      <w:pPr>
        <w:pStyle w:val="Psmena"/>
        <w:numPr>
          <w:ilvl w:val="0"/>
          <w:numId w:val="0"/>
        </w:numPr>
        <w:ind w:left="0" w:hanging="0"/>
        <w:rPr/>
      </w:pPr>
      <w:r>
        <w:rPr/>
      </w:r>
    </w:p>
    <w:p>
      <w:pPr>
        <w:pStyle w:val="Psmena"/>
        <w:numPr>
          <w:ilvl w:val="0"/>
          <w:numId w:val="0"/>
        </w:numPr>
        <w:ind w:left="0" w:hanging="0"/>
        <w:rPr/>
      </w:pPr>
      <w:r>
        <w:rPr/>
      </w:r>
    </w:p>
    <w:p>
      <w:pPr>
        <w:pStyle w:val="Psmena"/>
        <w:numPr>
          <w:ilvl w:val="0"/>
          <w:numId w:val="0"/>
        </w:numPr>
        <w:ind w:left="0" w:hanging="0"/>
        <w:rPr/>
      </w:pPr>
      <w:r>
        <w:rPr/>
        <w:t>Dále:</w:t>
      </w:r>
    </w:p>
    <w:p>
      <w:pPr>
        <w:pStyle w:val="Obyejn"/>
        <w:jc w:val="both"/>
        <w:rPr>
          <w:b/>
          <w:color w:val="auto"/>
          <w:sz w:val="22"/>
          <w:szCs w:val="22"/>
          <w:lang w:eastAsia="ar-SA"/>
        </w:rPr>
      </w:pPr>
      <w:r>
        <w:rPr>
          <w:b/>
          <w:color w:val="auto"/>
          <w:sz w:val="22"/>
          <w:szCs w:val="22"/>
          <w:lang w:eastAsia="ar-SA"/>
        </w:rPr>
      </w:r>
    </w:p>
    <w:p>
      <w:pPr>
        <w:pStyle w:val="Obyejn"/>
        <w:rPr>
          <w:rFonts w:ascii="Times New Roman" w:hAnsi="Times New Roman" w:cs="Times New Roman"/>
          <w:b/>
          <w:lang w:eastAsia="ar-SA"/>
        </w:rPr>
      </w:pPr>
      <w:r>
        <w:rPr>
          <w:rFonts w:cs="Times New Roman" w:ascii="Times New Roman" w:hAnsi="Times New Roman"/>
          <w:b/>
          <w:lang w:eastAsia="ar-SA"/>
        </w:rPr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se seznámil se všemi zadávacími podmínkami veřejné zakázky, zejména s požadavky zadavatele na předmět plnění veřejné zakázky, kvalifikaci a obchodní a platební podmínky, a že jim porozuměl.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v případě výběru účastníka jako dodavatele veřejné zakázky poskytne zadavateli součinnost nezbytnou k uzavření smlouvy na veřejnou zakázku.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všechny údaje a informace, které uvedl ve formuláři nabídky a v nabídce, jsou pravdivé a že v případě potřeby poskytne zadavateli součinnost nezbytnou k ověření údajů a informací obsažených ve formuláři nabídky a v nabídce u třetích osob.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si je vědom, že u vybraného dodavatele, je-li českou právnickou osobou, zadavatel zjistí údaje o jeho skutečném majiteli podle zákona upravujícího evidenci skutečných majitelů z evidence skutečných majitelů podle téhož zákona. Účastník dále prohlašuje, že si je vědom, že zadavatel vyloučí vybraného dodavatele, je-li českou právnickou osobou, která má skutečného majitele, pokud nebylo možné zjistit údaje o jeho skutečném majiteli z evidence skutečných majitelů; k zápisu zpřístupněnému v evidenci skutečných majitelů po odeslání oznámení o vyloučení dodavatele se nepřihlíží.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si je vědom, že u vybraného dodavatele, je-li zahraniční právnickou osobou, zadavatel ve výzvě podle § 122 odst. 3 ZZVZ vyzve rovněž k předložení výpisu ze zahraniční evidence obdobné evidenci skutečných majitelů nebo, není-li takové evidence,</w:t>
      </w:r>
    </w:p>
    <w:p>
      <w:pPr>
        <w:pStyle w:val="Tloslovan"/>
        <w:numPr>
          <w:ilvl w:val="0"/>
          <w:numId w:val="14"/>
        </w:numPr>
        <w:ind w:left="1134" w:hanging="283"/>
        <w:rPr/>
      </w:pPr>
      <w:r>
        <w:rPr/>
        <w:t>ke sdělení identifikačních údajů všech osob, které jsou jeho skutečným majitelem, a</w:t>
      </w:r>
    </w:p>
    <w:p>
      <w:pPr>
        <w:pStyle w:val="Tloslovan"/>
        <w:numPr>
          <w:ilvl w:val="0"/>
          <w:numId w:val="3"/>
        </w:numPr>
        <w:ind w:left="1134" w:hanging="283"/>
        <w:rPr/>
      </w:pPr>
      <w:r>
        <w:rPr/>
        <w:t>k předložení dokladů, z nichž vyplývá vztah všech osob podle písmene a) k dodavateli; těmito doklady jsou zejména:</w:t>
      </w:r>
    </w:p>
    <w:p>
      <w:pPr>
        <w:pStyle w:val="Tloslovan"/>
        <w:numPr>
          <w:ilvl w:val="3"/>
          <w:numId w:val="15"/>
        </w:numPr>
        <w:ind w:left="1418" w:hanging="284"/>
        <w:rPr/>
      </w:pPr>
      <w:r>
        <w:rPr/>
        <w:t>výpis ze zahraniční evidence obdobné veřejnému rejstříku,</w:t>
      </w:r>
    </w:p>
    <w:p>
      <w:pPr>
        <w:pStyle w:val="Tloslovan"/>
        <w:numPr>
          <w:ilvl w:val="3"/>
          <w:numId w:val="4"/>
        </w:numPr>
        <w:ind w:left="1418" w:hanging="284"/>
        <w:rPr/>
      </w:pPr>
      <w:r>
        <w:rPr/>
        <w:t>seznam akcionářů,</w:t>
      </w:r>
    </w:p>
    <w:p>
      <w:pPr>
        <w:pStyle w:val="Tloslovan"/>
        <w:numPr>
          <w:ilvl w:val="3"/>
          <w:numId w:val="4"/>
        </w:numPr>
        <w:ind w:left="1418" w:hanging="284"/>
        <w:rPr/>
      </w:pPr>
      <w:r>
        <w:rPr/>
        <w:t>rozhodnutí statutárního orgánu o vyplacení podílu na zisku,</w:t>
      </w:r>
    </w:p>
    <w:p>
      <w:pPr>
        <w:pStyle w:val="Tloslovan"/>
        <w:numPr>
          <w:ilvl w:val="3"/>
          <w:numId w:val="4"/>
        </w:numPr>
        <w:ind w:left="1418" w:hanging="284"/>
        <w:rPr/>
      </w:pPr>
      <w:r>
        <w:rPr/>
        <w:t>společenská smlouva, zakladatelská listina nebo stanovy.</w:t>
      </w:r>
    </w:p>
    <w:p>
      <w:pPr>
        <w:pStyle w:val="Tloslovan"/>
        <w:numPr>
          <w:ilvl w:val="0"/>
          <w:numId w:val="7"/>
        </w:numPr>
        <w:rPr/>
      </w:pPr>
      <w:r>
        <w:rPr/>
        <w:t>Účastník dále prohlašuje, že si je vědom, že zadavatel vyloučí vybraného dodavatele, je</w:t>
        <w:noBreakHyphen/>
        <w:t>li zahraniční právnickou osobou, který nepředložil údaje, doklady nebo vzorky podle § 122 odst. 5 ZZVZ.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si je vědom, že je osobou povinnou poskytnout zadavateli či příslušnému kontrolnímu orgánu součinnost při výkonu finanční kontroly (viz § 2 písm. e) zákona č. 320/2001 Sb., o finanční kontrole, ve znění pozdějších předpisů).</w:t>
      </w:r>
    </w:p>
    <w:p>
      <w:pPr>
        <w:pStyle w:val="Tloslovan"/>
        <w:numPr>
          <w:ilvl w:val="0"/>
          <w:numId w:val="7"/>
        </w:numPr>
        <w:rPr/>
      </w:pPr>
      <w:bookmarkStart w:id="0" w:name="_Hlk57962842"/>
      <w:r>
        <w:rPr/>
        <w:t>Účastník prohlašuje, že nenaplňuje podmínky zákazu účasti v zadávacích řízeních ve smyslu § 4b zákona č. 159/2006 Sb., o střetu zájmů, ve znění pozdějších předpisů, („</w:t>
      </w:r>
      <w:r>
        <w:rPr>
          <w:b/>
          <w:bCs/>
        </w:rPr>
        <w:t>ZSZ</w:t>
      </w:r>
      <w:r>
        <w:rPr/>
        <w:t>“), tj. že u účastníka, který je obchodní společností, jakož i u poddodavatelů, kteří jsou obchodními společnostmi, jejichž prostřednictvím účastník v zadávacím řízení prokazuje kvalifikaci, platí, že v žádném z nich veřejný funkcionář uvedený v § 2 odst. 1 písm. c) ZSZ, nebo jím ovládaná osoba, nevlastní podíl představující alespoň 25 % účasti společníka v obchodní společnosti</w:t>
      </w:r>
      <w:bookmarkEnd w:id="0"/>
      <w:r>
        <w:rPr/>
        <w:t>.</w:t>
      </w:r>
    </w:p>
    <w:p>
      <w:pPr>
        <w:pStyle w:val="Tloslovan"/>
        <w:numPr>
          <w:ilvl w:val="0"/>
          <w:numId w:val="7"/>
        </w:numPr>
        <w:rPr/>
      </w:pPr>
      <w:bookmarkStart w:id="1" w:name="_Hlk130390302"/>
      <w:r>
        <w:rPr/>
        <w:t xml:space="preserve">Účastník prohlašuje, že nenaplňuje podmínky zákazu zadání veřejné zakázky ve smyslu § 48a ZZVZ, tj. že se na účastníka, jakož i jeho poddodavatele, nevztahují mezinárodní sankce </w:t>
      </w:r>
      <w:r>
        <w:rPr>
          <w:rFonts w:cs="Helvetica" w:ascii="Helvetica" w:hAnsi="Helvetica"/>
          <w:color w:val="232323"/>
          <w:shd w:fill="FFFFFF" w:val="clear"/>
        </w:rPr>
        <w:t>podle zákona upravujícího provádění mezinárodních sankcí</w:t>
      </w:r>
      <w:r>
        <w:rPr/>
        <w:t>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 208/2014 ze dne 5. března 2014 o omezujících opatřeních vůči některým osobám, subjektům a orgánům vzhledem k situaci na Ukrajině, Nařízení Rady (EU) č. 269/2014 ze dne 17. března 2014 o omezujících opatřeních vzhledem k činnostem narušujícím nebo ohrožujícím územní celistvost, svrchovanost a nezávislost Ukrajiny a Nařízení Rady (ES) č. 765/2006 ze dne 18. května 2006 o omezujících opatřeních vůči prezidentu Lukašenkovi a některým představitelům Běloruska, a to bez ohledu na to, zda se jedná o osoby s přímou či nepřímou vazbou na účastníka či poddodavatele účastníka.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nejsou naplněny podmínky uvedené v Nařízení Rady (EU) č. 833/2014 ze dne 31. července 2014 o omezujících opatřeních vzhledem k činnostem Ruska destabilizujícím situaci na Ukrajině a Nařízení Rady (EU) 2022/576 ze dne 8. dubna 2022, kterým se mění nařízení (EU) č. 833/2014 o omezujících opatřeních vzhledem k činnostem Ruska destabilizujícím situaci na Ukrajině, tedy zejména, že se nejedná o dodavatele:</w:t>
      </w:r>
    </w:p>
    <w:p>
      <w:pPr>
        <w:pStyle w:val="Tloslovan"/>
        <w:numPr>
          <w:ilvl w:val="1"/>
          <w:numId w:val="16"/>
        </w:numPr>
        <w:ind w:left="1134" w:hanging="283"/>
        <w:rPr/>
      </w:pPr>
      <w:r>
        <w:rPr/>
        <w:t>ruského státního příslušníka, fyzickou nebo právnickou osobu se sídlem v Rusku,</w:t>
      </w:r>
    </w:p>
    <w:p>
      <w:pPr>
        <w:pStyle w:val="Tloslovan"/>
        <w:numPr>
          <w:ilvl w:val="1"/>
          <w:numId w:val="5"/>
        </w:numPr>
        <w:ind w:left="1134" w:hanging="283"/>
        <w:rPr/>
      </w:pPr>
      <w:r>
        <w:rPr/>
        <w:t>právnickou osobu, která je z více než 50 % přímo či nepřímo vlastněna některou z osob podle písm. a) tohoto odstavce, nebo</w:t>
      </w:r>
    </w:p>
    <w:p>
      <w:pPr>
        <w:pStyle w:val="Tloslovan"/>
        <w:numPr>
          <w:ilvl w:val="1"/>
          <w:numId w:val="5"/>
        </w:numPr>
        <w:ind w:left="1134" w:hanging="283"/>
        <w:rPr/>
      </w:pPr>
      <w:r>
        <w:rPr/>
        <w:t>fyzickou nebo právnickou osobu, která jedná jménem nebo na pokyn některé z osob uvedených v písm. a) nebo b) tohoto odstavce.</w:t>
      </w:r>
    </w:p>
    <w:p>
      <w:pPr>
        <w:pStyle w:val="Tloslovan"/>
        <w:ind w:left="851" w:hanging="0"/>
        <w:rPr/>
      </w:pPr>
      <w:r>
        <w:rPr/>
        <w:t>Uvedené platí v 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>
      <w:pPr>
        <w:pStyle w:val="Tloslovan"/>
        <w:numPr>
          <w:ilvl w:val="0"/>
          <w:numId w:val="7"/>
        </w:numPr>
        <w:rPr/>
      </w:pPr>
      <w:r>
        <w:rPr/>
        <w:t>Účastník prohlašuje, že se on ani jeho zaměstnanec či člen statutárního orgánu, statutární orgán či osoba jinak blízká:</w:t>
      </w:r>
    </w:p>
    <w:p>
      <w:pPr>
        <w:pStyle w:val="Tloslovan"/>
        <w:numPr>
          <w:ilvl w:val="0"/>
          <w:numId w:val="17"/>
        </w:numPr>
        <w:ind w:left="1134" w:hanging="283"/>
        <w:rPr/>
      </w:pPr>
      <w:r>
        <w:rPr/>
        <w:t xml:space="preserve">nepodílela na přípravě nebo zadání veřejné zakázky, </w:t>
      </w:r>
    </w:p>
    <w:p>
      <w:pPr>
        <w:pStyle w:val="Tloslovan"/>
        <w:numPr>
          <w:ilvl w:val="0"/>
          <w:numId w:val="6"/>
        </w:numPr>
        <w:ind w:left="1134" w:hanging="283"/>
        <w:rPr/>
      </w:pPr>
      <w:r>
        <w:rPr/>
        <w:t>neměla nebo nemohla mít vliv na výsledek zadávacího řízení,</w:t>
      </w:r>
    </w:p>
    <w:p>
      <w:pPr>
        <w:pStyle w:val="Tloslovan"/>
        <w:numPr>
          <w:ilvl w:val="0"/>
          <w:numId w:val="6"/>
        </w:numPr>
        <w:ind w:left="1134" w:hanging="283"/>
        <w:rPr/>
      </w:pPr>
      <w:r>
        <w:rPr/>
        <w:t>není v pracovněprávním nebo obdobném poměru ve vztahu k zadavateli veřejné zakázky,</w:t>
      </w:r>
    </w:p>
    <w:p>
      <w:pPr>
        <w:pStyle w:val="Tloslovan"/>
        <w:ind w:left="851" w:hanging="0"/>
        <w:rPr/>
      </w:pPr>
      <w:bookmarkStart w:id="2" w:name="_Hlk130390302"/>
      <w:r>
        <w:rPr/>
        <w:t>a to ani samostatně, ani ve spojení s jiným (pod)dodavatelem.</w:t>
      </w:r>
      <w:bookmarkEnd w:id="2"/>
    </w:p>
    <w:p>
      <w:pPr>
        <w:pStyle w:val="Tloslovan"/>
        <w:numPr>
          <w:ilvl w:val="0"/>
          <w:numId w:val="7"/>
        </w:numPr>
        <w:rPr/>
      </w:pPr>
      <w:r>
        <w:rPr/>
        <w:t>Účastník prohlašuje, že všechna prohlášení uvedená ve formuláři nabídky učinil na základě své vážné, svobodné a omylu prosté vůle a je si vědom všech následků plynoucích z uvedení nepravdivých údajů a informací.</w:t>
      </w:r>
    </w:p>
    <w:p>
      <w:pPr>
        <w:pStyle w:val="Psmena"/>
        <w:numPr>
          <w:ilvl w:val="0"/>
          <w:numId w:val="0"/>
        </w:numPr>
        <w:ind w:left="0" w:hanging="0"/>
        <w:rPr>
          <w:highlight w:val="yellow"/>
        </w:rPr>
      </w:pPr>
      <w:r>
        <w:rPr>
          <w:highlight w:val="yellow"/>
        </w:rPr>
      </w:r>
    </w:p>
    <w:p>
      <w:pPr>
        <w:pStyle w:val="Psmena"/>
        <w:numPr>
          <w:ilvl w:val="0"/>
          <w:numId w:val="0"/>
        </w:numPr>
        <w:ind w:left="0" w:hanging="0"/>
        <w:rPr/>
      </w:pPr>
      <w:r>
        <w:rPr/>
      </w:r>
    </w:p>
    <w:p>
      <w:pPr>
        <w:pStyle w:val="Obyejn"/>
        <w:rPr/>
      </w:pPr>
      <w:r>
        <w:rPr/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>
          <w:highlight w:val="yellow"/>
        </w:rPr>
      </w:pPr>
      <w:r>
        <w:rPr>
          <w:highlight w:val="yellow"/>
        </w:rPr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>
          <w:highlight w:val="yellow"/>
        </w:rPr>
      </w:pPr>
      <w:r>
        <w:rPr>
          <w:highlight w:val="yellow"/>
        </w:rPr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>
          <w:highlight w:val="yellow"/>
        </w:rPr>
        <w:t>V ……… dne …… 20</w:t>
      </w:r>
      <w:r>
        <w:rPr/>
        <w:t>23</w:t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/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/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/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/>
      </w:r>
    </w:p>
    <w:p>
      <w:pPr>
        <w:pStyle w:val="Styl2"/>
        <w:numPr>
          <w:ilvl w:val="0"/>
          <w:numId w:val="0"/>
        </w:numPr>
        <w:spacing w:lineRule="auto" w:line="240" w:before="0" w:after="0"/>
        <w:ind w:left="851" w:hanging="851"/>
        <w:rPr/>
      </w:pPr>
      <w:r>
        <w:rPr/>
        <w:t>………………</w:t>
      </w:r>
      <w:r>
        <w:rPr/>
        <w:t>.………………………………………………</w:t>
      </w:r>
    </w:p>
    <w:p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>
        <w:rPr>
          <w:color w:val="auto"/>
          <w:highlight w:val="yellow"/>
        </w:rPr>
        <w:t>Jméno, funkce a podpis oprávněné osob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first" r:id="rId5"/>
      <w:type w:val="nextPage"/>
      <w:pgSz w:w="11906" w:h="16838"/>
      <w:pgMar w:left="1417" w:right="1417" w:gutter="0" w:header="454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851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effect w:val="none"/>
        <w:szCs w:val="22"/>
        <w:iCs w:val="false"/>
        <w:bCs w:val="false"/>
        <w:em w:val="none"/>
        <w:vanish w:val="false"/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8" w:hanging="28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851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kern w:val="0"/>
        <w:effect w:val="none"/>
        <w:szCs w:val="22"/>
        <w:iCs w:val="false"/>
        <w:bCs w:val="false"/>
        <w:em w:val="none"/>
        <w:vanish w:val="false"/>
        <w:rFonts w:ascii="Arial" w:hAnsi="Arial" w:cs="Arial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68" w:hanging="284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1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844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13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2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04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5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/>
    <w:lvlOverride w:ilvl="1"/>
    <w:lvlOverride w:ilvl="2"/>
    <w:lvlOverride w:ilvl="3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4"/>
    <w:lvlOverride w:ilvl="0"/>
    <w:lvlOverride w:ilvl="1"/>
    <w:lvlOverride w:ilvl="2"/>
    <w:lvlOverride w:ilvl="3">
      <w:startOverride w:val="1"/>
    </w:lvlOverride>
  </w:num>
  <w:num w:numId="16">
    <w:abstractNumId w:val="5"/>
    <w:lvlOverride w:ilvl="0"/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cs-CZ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76e0"/>
    <w:pPr>
      <w:widowControl/>
      <w:bidi w:val="0"/>
      <w:spacing w:lineRule="auto" w:line="276" w:before="0" w:after="20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Styl2"/>
    <w:link w:val="Nadpis1Char"/>
    <w:qFormat/>
    <w:rsid w:val="003e76e0"/>
    <w:pPr>
      <w:keepNext w:val="true"/>
      <w:keepLines/>
      <w:numPr>
        <w:ilvl w:val="0"/>
        <w:numId w:val="1"/>
      </w:numPr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before="480" w:after="120"/>
      <w:outlineLvl w:val="0"/>
    </w:pPr>
    <w:rPr>
      <w:rFonts w:ascii="Arial" w:hAnsi="Arial" w:eastAsia="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3e76e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qFormat/>
    <w:rsid w:val="003e76e0"/>
    <w:rPr>
      <w:rFonts w:eastAsia="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Styl2Char" w:customStyle="1">
    <w:name w:val="Styl2 Char"/>
    <w:basedOn w:val="DefaultParagraphFont"/>
    <w:link w:val="Styl2"/>
    <w:qFormat/>
    <w:locked/>
    <w:rsid w:val="003e76e0"/>
    <w:rPr>
      <w:rFonts w:eastAsia="Calibri" w:cs="Arial"/>
      <w:lang w:eastAsia="cs-CZ"/>
    </w:rPr>
  </w:style>
  <w:style w:type="character" w:styleId="PodnadpisChar" w:customStyle="1">
    <w:name w:val="Podnadpis Char"/>
    <w:basedOn w:val="DefaultParagraphFont"/>
    <w:uiPriority w:val="99"/>
    <w:qFormat/>
    <w:rsid w:val="003e76e0"/>
    <w:rPr>
      <w:rFonts w:eastAsia="Calibri" w:cs="Arial"/>
    </w:rPr>
  </w:style>
  <w:style w:type="character" w:styleId="PsmenaChar" w:customStyle="1">
    <w:name w:val="Písmena Char"/>
    <w:basedOn w:val="DefaultParagraphFont"/>
    <w:link w:val="Psmena"/>
    <w:qFormat/>
    <w:rsid w:val="003e76e0"/>
    <w:rPr>
      <w:rFonts w:eastAsia="" w:cs="Arial" w:eastAsiaTheme="majorEastAsia"/>
      <w:bCs/>
    </w:rPr>
  </w:style>
  <w:style w:type="character" w:styleId="ZhlavChar" w:customStyle="1">
    <w:name w:val="Záhlaví Char"/>
    <w:basedOn w:val="DefaultParagraphFont"/>
    <w:uiPriority w:val="99"/>
    <w:qFormat/>
    <w:rsid w:val="003e76e0"/>
    <w:rPr>
      <w:rFonts w:ascii="Calibri" w:hAnsi="Calibri" w:asciiTheme="minorHAnsi" w:hAnsiTheme="minorHAnsi"/>
    </w:rPr>
  </w:style>
  <w:style w:type="character" w:styleId="ObyejnChar" w:customStyle="1">
    <w:name w:val="Obyčejný Char"/>
    <w:basedOn w:val="DefaultParagraphFont"/>
    <w:link w:val="Obyejn"/>
    <w:qFormat/>
    <w:rsid w:val="003e76e0"/>
    <w:rPr>
      <w:rFonts w:eastAsia="Times New Roman" w:cs="Arial"/>
      <w:color w:val="1F497D"/>
      <w:sz w:val="24"/>
      <w:szCs w:val="24"/>
      <w:lang w:eastAsia="cs-CZ"/>
    </w:rPr>
  </w:style>
  <w:style w:type="character" w:styleId="NadpiseditChar" w:customStyle="1">
    <w:name w:val="Nadpis_edit Char"/>
    <w:basedOn w:val="Nadpis1Char"/>
    <w:link w:val="Nadpisedit"/>
    <w:qFormat/>
    <w:rsid w:val="003e76e0"/>
    <w:rPr>
      <w:rFonts w:eastAsia="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1">
    <w:name w:val="doplní uchazeč Char"/>
    <w:link w:val="Doplnuchaze"/>
    <w:qFormat/>
    <w:locked/>
    <w:rsid w:val="003e76e0"/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2Char" w:customStyle="1">
    <w:name w:val="Nadpis 2 Char"/>
    <w:basedOn w:val="DefaultParagraphFont"/>
    <w:uiPriority w:val="9"/>
    <w:semiHidden/>
    <w:qFormat/>
    <w:rsid w:val="003e76e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NadpisZDChar" w:customStyle="1">
    <w:name w:val="Nadpis ZD Char"/>
    <w:basedOn w:val="ObyejnChar"/>
    <w:link w:val="NadpisZD"/>
    <w:qFormat/>
    <w:rsid w:val="003e76e0"/>
    <w:rPr>
      <w:rFonts w:eastAsia="Calibri" w:cs="Arial"/>
      <w:color w:val="1F497D"/>
      <w:sz w:val="24"/>
      <w:szCs w:val="24"/>
      <w:lang w:eastAsia="cs-CZ"/>
    </w:rPr>
  </w:style>
  <w:style w:type="character" w:styleId="TloslovanChar" w:customStyle="1">
    <w:name w:val="Tělo číslované Char"/>
    <w:basedOn w:val="DefaultParagraphFont"/>
    <w:link w:val="Tloslovan"/>
    <w:qFormat/>
    <w:locked/>
    <w:rsid w:val="00b05f01"/>
    <w:rPr>
      <w:rFonts w:cs="Arial"/>
    </w:rPr>
  </w:style>
  <w:style w:type="character" w:styleId="Internetovodkaz">
    <w:name w:val="Hyperlink"/>
    <w:rPr>
      <w:color w:val="0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Styl2" w:customStyle="1">
    <w:name w:val="Styl2"/>
    <w:basedOn w:val="NoSpacing"/>
    <w:link w:val="Styl2Char"/>
    <w:qFormat/>
    <w:rsid w:val="003e76e0"/>
    <w:pPr>
      <w:numPr>
        <w:ilvl w:val="2"/>
        <w:numId w:val="1"/>
      </w:numPr>
      <w:spacing w:lineRule="auto" w:line="276" w:before="120" w:after="120"/>
      <w:jc w:val="both"/>
    </w:pPr>
    <w:rPr>
      <w:rFonts w:ascii="Arial" w:hAnsi="Arial" w:eastAsia="Calibri" w:cs="Arial"/>
      <w:lang w:eastAsia="cs-CZ"/>
    </w:rPr>
  </w:style>
  <w:style w:type="paragraph" w:styleId="Podtitul">
    <w:name w:val="Subtitle"/>
    <w:basedOn w:val="Normal"/>
    <w:next w:val="Normal"/>
    <w:link w:val="PodnadpisChar"/>
    <w:uiPriority w:val="99"/>
    <w:qFormat/>
    <w:rsid w:val="003e76e0"/>
    <w:pPr>
      <w:spacing w:before="120" w:after="120"/>
      <w:ind w:left="851" w:hanging="0"/>
      <w:jc w:val="both"/>
    </w:pPr>
    <w:rPr>
      <w:rFonts w:ascii="Arial" w:hAnsi="Arial" w:eastAsia="Calibri" w:cs="Arial"/>
    </w:rPr>
  </w:style>
  <w:style w:type="paragraph" w:styleId="Psmena" w:customStyle="1">
    <w:name w:val="Písmena"/>
    <w:link w:val="PsmenaChar"/>
    <w:qFormat/>
    <w:rsid w:val="003e76e0"/>
    <w:pPr>
      <w:widowControl/>
      <w:numPr>
        <w:ilvl w:val="3"/>
        <w:numId w:val="1"/>
      </w:numPr>
      <w:bidi w:val="0"/>
      <w:spacing w:lineRule="auto" w:line="276" w:before="0" w:after="0"/>
      <w:jc w:val="both"/>
    </w:pPr>
    <w:rPr>
      <w:rFonts w:eastAsia="" w:cs="Arial" w:eastAsiaTheme="majorEastAsia" w:ascii="Arial" w:hAnsi="Arial"/>
      <w:bCs/>
      <w:color w:val="auto"/>
      <w:kern w:val="0"/>
      <w:sz w:val="22"/>
      <w:szCs w:val="22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3e76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yejn" w:customStyle="1">
    <w:name w:val="Obyčejný"/>
    <w:basedOn w:val="Normal"/>
    <w:link w:val="ObyejnChar"/>
    <w:qFormat/>
    <w:rsid w:val="003e76e0"/>
    <w:pPr>
      <w:spacing w:lineRule="auto" w:line="240" w:before="0" w:after="0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paragraph" w:styleId="Nadpisrove2" w:customStyle="1">
    <w:name w:val="Nadpis úroveň 2"/>
    <w:basedOn w:val="Nadpis2"/>
    <w:next w:val="Styl2"/>
    <w:qFormat/>
    <w:rsid w:val="003e76e0"/>
    <w:pPr>
      <w:keepLines w:val="false"/>
      <w:numPr>
        <w:ilvl w:val="1"/>
        <w:numId w:val="1"/>
      </w:numPr>
      <w:tabs>
        <w:tab w:val="clear" w:pos="708"/>
        <w:tab w:val="left" w:pos="360" w:leader="none"/>
      </w:tabs>
      <w:spacing w:before="240" w:after="120"/>
      <w:ind w:left="0" w:hanging="0"/>
      <w:jc w:val="both"/>
    </w:pPr>
    <w:rPr>
      <w:rFonts w:ascii="Arial" w:hAnsi="Arial" w:eastAsia="Calibri" w:cs="Arial"/>
      <w:bCs w:val="false"/>
      <w:smallCaps/>
      <w:color w:val="000000" w:themeColor="text1"/>
      <w:sz w:val="22"/>
      <w:szCs w:val="22"/>
    </w:rPr>
  </w:style>
  <w:style w:type="paragraph" w:styleId="Nadpisedit" w:customStyle="1">
    <w:name w:val="Nadpis_edit"/>
    <w:basedOn w:val="Nadpis1"/>
    <w:link w:val="NadpiseditChar"/>
    <w:qFormat/>
    <w:rsid w:val="003e76e0"/>
    <w:pPr>
      <w:numPr>
        <w:ilvl w:val="0"/>
        <w:numId w:val="0"/>
      </w:numPr>
      <w:spacing w:before="0" w:after="120"/>
      <w:jc w:val="center"/>
    </w:pPr>
    <w:rPr/>
  </w:style>
  <w:style w:type="paragraph" w:styleId="Doplnuchaze" w:customStyle="1">
    <w:name w:val="doplní uchazeč"/>
    <w:basedOn w:val="Normal"/>
    <w:link w:val="DoplnuchazeChar"/>
    <w:qFormat/>
    <w:rsid w:val="003e76e0"/>
    <w:pPr>
      <w:spacing w:lineRule="exact" w:line="280" w:before="0" w:after="120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NoSpacing">
    <w:name w:val="No Spacing"/>
    <w:uiPriority w:val="1"/>
    <w:qFormat/>
    <w:rsid w:val="003e76e0"/>
    <w:pPr>
      <w:widowControl/>
      <w:bidi w:val="0"/>
      <w:spacing w:lineRule="auto" w:line="240" w:before="0" w:after="0"/>
      <w:jc w:val="left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cs-CZ" w:eastAsia="en-US" w:bidi="ar-SA"/>
    </w:rPr>
  </w:style>
  <w:style w:type="paragraph" w:styleId="NadpisZD" w:customStyle="1">
    <w:name w:val="Nadpis ZD"/>
    <w:basedOn w:val="Obyejn"/>
    <w:link w:val="NadpisZDChar"/>
    <w:qFormat/>
    <w:rsid w:val="003e76e0"/>
    <w:pPr/>
    <w:rPr>
      <w:rFonts w:eastAsia="Calibri"/>
    </w:rPr>
  </w:style>
  <w:style w:type="paragraph" w:styleId="Tloslovan" w:customStyle="1">
    <w:name w:val="Tělo číslované"/>
    <w:basedOn w:val="Normal"/>
    <w:link w:val="TloslovanChar"/>
    <w:qFormat/>
    <w:rsid w:val="00b05f01"/>
    <w:pPr>
      <w:spacing w:before="120" w:after="120"/>
      <w:ind w:left="851" w:hanging="851"/>
      <w:jc w:val="both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spi://module=&apos;ASPI&apos;&amp;link=&apos;87/1995 Sb.%2523&apos;&amp;ucin-k-dni=&apos;30.12.9999&apos;" TargetMode="External"/><Relationship Id="rId3" Type="http://schemas.openxmlformats.org/officeDocument/2006/relationships/hyperlink" Target="aspi://module=&apos;ASPI&apos;&amp;link=&apos;586/1992 Sb.%2523&apos;&amp;ucin-k-dni=&apos;30.12.9999&apos;" TargetMode="External"/><Relationship Id="rId4" Type="http://schemas.openxmlformats.org/officeDocument/2006/relationships/hyperlink" Target="aspi://module=&apos;ASPI&apos;&amp;link=&apos;363/1999 Sb.%2523&apos;&amp;ucin-k-dni=&apos;30.12.9999&apos;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65BC4-88D8-4A5C-B088-FDD08E49C5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LibreOffice/7.5.0.3$Windows_X86_64 LibreOffice_project/c21113d003cd3efa8c53188764377a8272d9d6de</Application>
  <AppVersion>15.0000</AppVersion>
  <Pages>4</Pages>
  <Words>1276</Words>
  <Characters>7236</Characters>
  <CharactersWithSpaces>8446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2023-06-06T07:01:00Z</dcterms:created>
  <dc:creator>Leplt Jaroslav</dc:creator>
  <dc:description/>
  <dc:language>cs-CZ</dc:language>
  <cp:lastModifiedBy/>
  <dcterms:modified xsi:type="dcterms:W3CDTF">2023-08-04T12:36:38Z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