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20585" w14:textId="77777777" w:rsidR="00C14BFD" w:rsidRDefault="00C14BFD" w:rsidP="000A202A">
      <w:pPr>
        <w:jc w:val="center"/>
        <w:rPr>
          <w:rFonts w:ascii="Calibri Light" w:hAnsi="Calibri Light" w:cs="Calibri Light"/>
          <w:sz w:val="28"/>
          <w:szCs w:val="28"/>
        </w:rPr>
      </w:pPr>
    </w:p>
    <w:p w14:paraId="2FCD7A88" w14:textId="73746376" w:rsidR="00C14BFD" w:rsidRDefault="00A9239C" w:rsidP="00C14BFD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noProof/>
          <w:sz w:val="40"/>
          <w:szCs w:val="40"/>
        </w:rPr>
        <w:drawing>
          <wp:inline distT="0" distB="0" distL="0" distR="0" wp14:anchorId="5318AD09" wp14:editId="1E82F1ED">
            <wp:extent cx="2232660" cy="2376224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692" cy="239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26FB8" w14:textId="77777777" w:rsidR="00C14BFD" w:rsidRDefault="00C14BFD" w:rsidP="00C14BFD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14:paraId="21E4EE84" w14:textId="77777777" w:rsidR="00C14BFD" w:rsidRDefault="00C14BFD" w:rsidP="00C14BFD">
      <w:pPr>
        <w:jc w:val="center"/>
        <w:rPr>
          <w:rFonts w:ascii="Arial" w:eastAsia="Arial" w:hAnsi="Arial" w:cs="Arial"/>
          <w:b/>
          <w:sz w:val="46"/>
          <w:szCs w:val="46"/>
        </w:rPr>
      </w:pPr>
    </w:p>
    <w:p w14:paraId="669EFD6A" w14:textId="63249B55" w:rsidR="00C14BFD" w:rsidRDefault="00C14BFD" w:rsidP="00C14BFD">
      <w:pPr>
        <w:jc w:val="center"/>
        <w:rPr>
          <w:rFonts w:ascii="Arial" w:eastAsia="Arial" w:hAnsi="Arial" w:cs="Arial"/>
          <w:b/>
          <w:sz w:val="46"/>
          <w:szCs w:val="46"/>
        </w:rPr>
      </w:pPr>
    </w:p>
    <w:p w14:paraId="0E67E5F2" w14:textId="42ED3521" w:rsidR="00534CDC" w:rsidRDefault="00534CDC" w:rsidP="00C14BFD">
      <w:pPr>
        <w:jc w:val="center"/>
        <w:rPr>
          <w:rFonts w:ascii="Arial" w:eastAsia="Arial" w:hAnsi="Arial" w:cs="Arial"/>
          <w:b/>
          <w:sz w:val="46"/>
          <w:szCs w:val="46"/>
        </w:rPr>
      </w:pPr>
    </w:p>
    <w:p w14:paraId="211C0004" w14:textId="77777777" w:rsidR="00534CDC" w:rsidRDefault="00534CDC" w:rsidP="00C14BFD">
      <w:pPr>
        <w:jc w:val="center"/>
        <w:rPr>
          <w:rFonts w:ascii="Arial" w:eastAsia="Arial" w:hAnsi="Arial" w:cs="Arial"/>
          <w:b/>
          <w:sz w:val="46"/>
          <w:szCs w:val="46"/>
        </w:rPr>
      </w:pPr>
    </w:p>
    <w:p w14:paraId="7C6CC5F0" w14:textId="0580489A" w:rsidR="00C14BFD" w:rsidRDefault="00C14BFD" w:rsidP="00C14BFD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 xml:space="preserve">ZÁSADY PRO VÝSTAVBU NA ÚZEMÍ </w:t>
      </w:r>
      <w:r w:rsidR="00A9239C">
        <w:rPr>
          <w:rFonts w:ascii="Arial" w:eastAsia="Arial" w:hAnsi="Arial" w:cs="Arial"/>
          <w:b/>
          <w:sz w:val="48"/>
          <w:szCs w:val="48"/>
        </w:rPr>
        <w:t>MĚSTA ÚJEZD U BRNA</w:t>
      </w:r>
    </w:p>
    <w:p w14:paraId="1170F4ED" w14:textId="77777777" w:rsidR="00C14BFD" w:rsidRDefault="00C14BFD" w:rsidP="00C14BFD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14:paraId="1A3428B3" w14:textId="46285683" w:rsidR="00C14BFD" w:rsidRDefault="00C14BFD" w:rsidP="00C14BFD">
      <w:pPr>
        <w:jc w:val="center"/>
        <w:rPr>
          <w:rFonts w:ascii="Arial" w:eastAsia="Arial" w:hAnsi="Arial" w:cs="Arial"/>
          <w:sz w:val="44"/>
          <w:szCs w:val="44"/>
          <w:u w:val="single"/>
        </w:rPr>
      </w:pPr>
      <w:r>
        <w:rPr>
          <w:rFonts w:ascii="Arial" w:eastAsia="Arial" w:hAnsi="Arial" w:cs="Arial"/>
          <w:sz w:val="44"/>
          <w:szCs w:val="44"/>
          <w:u w:val="single"/>
        </w:rPr>
        <w:t>Pravidla pro jednání s investory</w:t>
      </w:r>
    </w:p>
    <w:p w14:paraId="51AB67BB" w14:textId="77777777" w:rsidR="00C14BFD" w:rsidRDefault="00C14BFD" w:rsidP="00C14BFD">
      <w:pPr>
        <w:jc w:val="center"/>
        <w:rPr>
          <w:rFonts w:ascii="Arial" w:eastAsia="Arial" w:hAnsi="Arial" w:cs="Arial"/>
          <w:sz w:val="44"/>
          <w:szCs w:val="44"/>
          <w:u w:val="single"/>
        </w:rPr>
      </w:pPr>
    </w:p>
    <w:p w14:paraId="4A374E3F" w14:textId="148BC904" w:rsidR="000A202A" w:rsidRPr="00C14BFD" w:rsidRDefault="0080403B" w:rsidP="00C14BFD">
      <w:pPr>
        <w:jc w:val="center"/>
        <w:rPr>
          <w:rFonts w:ascii="Arial" w:eastAsia="Arial" w:hAnsi="Arial" w:cs="Arial"/>
          <w:sz w:val="44"/>
          <w:szCs w:val="44"/>
          <w:u w:val="single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(v</w:t>
      </w:r>
      <w:r w:rsidR="00E7090F" w:rsidRPr="0080403B">
        <w:rPr>
          <w:rFonts w:ascii="Calibri Light" w:hAnsi="Calibri Light" w:cs="Calibri Light"/>
          <w:b/>
          <w:bCs/>
          <w:sz w:val="28"/>
          <w:szCs w:val="28"/>
        </w:rPr>
        <w:t> otázkách a odpovědích</w:t>
      </w:r>
      <w:r>
        <w:rPr>
          <w:rFonts w:ascii="Calibri Light" w:hAnsi="Calibri Light" w:cs="Calibri Light"/>
          <w:b/>
          <w:bCs/>
          <w:sz w:val="28"/>
          <w:szCs w:val="28"/>
        </w:rPr>
        <w:t>)</w:t>
      </w:r>
    </w:p>
    <w:p w14:paraId="46C19689" w14:textId="77777777" w:rsidR="000A202A" w:rsidRPr="003C4D4A" w:rsidRDefault="000A202A" w:rsidP="000A202A">
      <w:pPr>
        <w:jc w:val="center"/>
        <w:rPr>
          <w:rFonts w:ascii="Calibri Light" w:hAnsi="Calibri Light" w:cs="Calibri Light"/>
          <w:sz w:val="24"/>
          <w:szCs w:val="24"/>
        </w:rPr>
      </w:pPr>
    </w:p>
    <w:p w14:paraId="16042FCB" w14:textId="4A3968CD" w:rsidR="00C14BFD" w:rsidRDefault="00C14BFD" w:rsidP="00534CD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Únor 2021</w:t>
      </w:r>
    </w:p>
    <w:p w14:paraId="09727637" w14:textId="14CE4942" w:rsidR="000A202A" w:rsidRDefault="006665B3" w:rsidP="000A202A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Město Újezd u Brna</w:t>
      </w:r>
      <w:r w:rsidR="000A202A" w:rsidRPr="000A202A">
        <w:rPr>
          <w:rFonts w:ascii="Calibri Light" w:hAnsi="Calibri Light" w:cs="Calibri Light"/>
          <w:sz w:val="24"/>
          <w:szCs w:val="24"/>
        </w:rPr>
        <w:t xml:space="preserve"> (dále jen „</w:t>
      </w:r>
      <w:r w:rsidRPr="00170CE8">
        <w:rPr>
          <w:rFonts w:ascii="Calibri Light" w:hAnsi="Calibri Light" w:cs="Calibri Light"/>
          <w:sz w:val="24"/>
          <w:szCs w:val="24"/>
        </w:rPr>
        <w:t>Město</w:t>
      </w:r>
      <w:r w:rsidR="000A202A" w:rsidRPr="00170CE8">
        <w:rPr>
          <w:rFonts w:ascii="Calibri Light" w:hAnsi="Calibri Light" w:cs="Calibri Light"/>
          <w:sz w:val="24"/>
          <w:szCs w:val="24"/>
        </w:rPr>
        <w:t>“) schváli</w:t>
      </w:r>
      <w:r w:rsidRPr="00170CE8">
        <w:rPr>
          <w:rFonts w:ascii="Calibri Light" w:hAnsi="Calibri Light" w:cs="Calibri Light"/>
          <w:sz w:val="24"/>
          <w:szCs w:val="24"/>
        </w:rPr>
        <w:t>lo</w:t>
      </w:r>
      <w:r w:rsidR="000A202A" w:rsidRPr="00170CE8">
        <w:rPr>
          <w:rFonts w:ascii="Calibri Light" w:hAnsi="Calibri Light" w:cs="Calibri Light"/>
          <w:sz w:val="24"/>
          <w:szCs w:val="24"/>
        </w:rPr>
        <w:t xml:space="preserve"> </w:t>
      </w:r>
      <w:r w:rsidR="00170CE8" w:rsidRPr="00170CE8">
        <w:rPr>
          <w:rFonts w:ascii="Calibri Light" w:hAnsi="Calibri Light" w:cs="Calibri Light"/>
          <w:sz w:val="24"/>
          <w:szCs w:val="24"/>
        </w:rPr>
        <w:t>usnesením zastupitelstva č. 4a</w:t>
      </w:r>
      <w:r w:rsidR="00CC2588" w:rsidRPr="00170CE8">
        <w:rPr>
          <w:rFonts w:ascii="Calibri Light" w:hAnsi="Calibri Light" w:cs="Calibri Light"/>
          <w:sz w:val="24"/>
          <w:szCs w:val="24"/>
        </w:rPr>
        <w:t xml:space="preserve"> </w:t>
      </w:r>
      <w:r w:rsidR="000A202A" w:rsidRPr="00170CE8">
        <w:rPr>
          <w:rFonts w:ascii="Calibri Light" w:hAnsi="Calibri Light" w:cs="Calibri Light"/>
          <w:sz w:val="24"/>
          <w:szCs w:val="24"/>
        </w:rPr>
        <w:t xml:space="preserve">na </w:t>
      </w:r>
      <w:r w:rsidR="00170CE8" w:rsidRPr="00170CE8">
        <w:rPr>
          <w:rFonts w:ascii="Calibri Light" w:hAnsi="Calibri Light" w:cs="Calibri Light"/>
          <w:sz w:val="24"/>
          <w:szCs w:val="24"/>
        </w:rPr>
        <w:t xml:space="preserve">12. </w:t>
      </w:r>
      <w:r w:rsidR="000A202A" w:rsidRPr="00170CE8">
        <w:rPr>
          <w:rFonts w:ascii="Calibri Light" w:hAnsi="Calibri Light" w:cs="Calibri Light"/>
          <w:sz w:val="24"/>
          <w:szCs w:val="24"/>
        </w:rPr>
        <w:t xml:space="preserve">zasedání zastupitelstva konaném </w:t>
      </w:r>
      <w:r w:rsidR="00170CE8" w:rsidRPr="00170CE8">
        <w:rPr>
          <w:rFonts w:ascii="Calibri Light" w:hAnsi="Calibri Light" w:cs="Calibri Light"/>
          <w:sz w:val="24"/>
          <w:szCs w:val="24"/>
        </w:rPr>
        <w:t xml:space="preserve">dne </w:t>
      </w:r>
      <w:proofErr w:type="gramStart"/>
      <w:r w:rsidR="00170CE8" w:rsidRPr="00170CE8">
        <w:rPr>
          <w:rFonts w:ascii="Calibri Light" w:hAnsi="Calibri Light" w:cs="Calibri Light"/>
          <w:sz w:val="24"/>
          <w:szCs w:val="24"/>
        </w:rPr>
        <w:t>10.6.2020</w:t>
      </w:r>
      <w:proofErr w:type="gramEnd"/>
      <w:r w:rsidR="00CC2588" w:rsidRPr="00170CE8">
        <w:rPr>
          <w:rFonts w:ascii="Calibri Light" w:hAnsi="Calibri Light" w:cs="Calibri Light"/>
          <w:sz w:val="24"/>
          <w:szCs w:val="24"/>
        </w:rPr>
        <w:t xml:space="preserve"> </w:t>
      </w:r>
      <w:r w:rsidR="00C65E63" w:rsidRPr="00170CE8">
        <w:rPr>
          <w:rFonts w:ascii="Calibri Light" w:hAnsi="Calibri Light" w:cs="Calibri Light"/>
          <w:sz w:val="24"/>
          <w:szCs w:val="24"/>
        </w:rPr>
        <w:t xml:space="preserve">„Zásady pro výstavbu na území </w:t>
      </w:r>
      <w:r w:rsidRPr="00170CE8">
        <w:rPr>
          <w:rFonts w:ascii="Calibri Light" w:hAnsi="Calibri Light" w:cs="Calibri Light"/>
          <w:sz w:val="24"/>
          <w:szCs w:val="24"/>
        </w:rPr>
        <w:t>města Újezd u Brna</w:t>
      </w:r>
      <w:r w:rsidR="00C65E63" w:rsidRPr="00170CE8">
        <w:rPr>
          <w:rFonts w:ascii="Calibri Light" w:hAnsi="Calibri Light" w:cs="Calibri Light"/>
          <w:sz w:val="24"/>
          <w:szCs w:val="24"/>
        </w:rPr>
        <w:t>“ - p</w:t>
      </w:r>
      <w:r w:rsidR="000A202A" w:rsidRPr="00170CE8">
        <w:rPr>
          <w:rFonts w:ascii="Calibri Light" w:hAnsi="Calibri Light" w:cs="Calibri Light"/>
          <w:sz w:val="24"/>
          <w:szCs w:val="24"/>
        </w:rPr>
        <w:t xml:space="preserve">ravidla pro </w:t>
      </w:r>
      <w:r w:rsidR="00CC2588" w:rsidRPr="00170CE8">
        <w:rPr>
          <w:rFonts w:ascii="Calibri Light" w:hAnsi="Calibri Light" w:cs="Calibri Light"/>
          <w:sz w:val="24"/>
          <w:szCs w:val="24"/>
        </w:rPr>
        <w:t>jednání s investory</w:t>
      </w:r>
      <w:r w:rsidR="000A202A" w:rsidRPr="00170CE8">
        <w:rPr>
          <w:rFonts w:ascii="Calibri Light" w:hAnsi="Calibri Light" w:cs="Calibri Light"/>
          <w:sz w:val="24"/>
          <w:szCs w:val="24"/>
        </w:rPr>
        <w:t>“ (dále jen „Zásady“). Zásadami</w:t>
      </w:r>
      <w:r w:rsidR="000A202A">
        <w:rPr>
          <w:rFonts w:ascii="Calibri Light" w:hAnsi="Calibri Light" w:cs="Calibri Light"/>
          <w:sz w:val="24"/>
          <w:szCs w:val="24"/>
        </w:rPr>
        <w:t xml:space="preserve"> se do budoucna bude řídit výstavba na území </w:t>
      </w:r>
      <w:r>
        <w:rPr>
          <w:rFonts w:ascii="Calibri Light" w:hAnsi="Calibri Light" w:cs="Calibri Light"/>
          <w:sz w:val="24"/>
          <w:szCs w:val="24"/>
        </w:rPr>
        <w:t>Města</w:t>
      </w:r>
      <w:r w:rsidR="000A202A">
        <w:rPr>
          <w:rFonts w:ascii="Calibri Light" w:hAnsi="Calibri Light" w:cs="Calibri Light"/>
          <w:sz w:val="24"/>
          <w:szCs w:val="24"/>
        </w:rPr>
        <w:t>.</w:t>
      </w:r>
    </w:p>
    <w:p w14:paraId="34818912" w14:textId="77777777" w:rsidR="00534CDC" w:rsidRDefault="00534CDC" w:rsidP="000A202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072DBF33" w14:textId="19C36D89" w:rsidR="000A202A" w:rsidRPr="00DE58A6" w:rsidRDefault="000A202A" w:rsidP="000A202A">
      <w:pPr>
        <w:pStyle w:val="Odstavecseseznamem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E58A6">
        <w:rPr>
          <w:rFonts w:ascii="Calibri Light" w:hAnsi="Calibri Light" w:cs="Calibri Light"/>
          <w:b/>
          <w:bCs/>
          <w:sz w:val="24"/>
          <w:szCs w:val="24"/>
        </w:rPr>
        <w:t xml:space="preserve">Z čeho vyplývá oprávnění </w:t>
      </w:r>
      <w:r w:rsidR="006665B3">
        <w:rPr>
          <w:rFonts w:ascii="Calibri Light" w:hAnsi="Calibri Light" w:cs="Calibri Light"/>
          <w:b/>
          <w:bCs/>
          <w:sz w:val="24"/>
          <w:szCs w:val="24"/>
        </w:rPr>
        <w:t>Města</w:t>
      </w:r>
      <w:r w:rsidRPr="00DE58A6">
        <w:rPr>
          <w:rFonts w:ascii="Calibri Light" w:hAnsi="Calibri Light" w:cs="Calibri Light"/>
          <w:b/>
          <w:bCs/>
          <w:sz w:val="24"/>
          <w:szCs w:val="24"/>
        </w:rPr>
        <w:t xml:space="preserve"> Zásady schválit?</w:t>
      </w:r>
    </w:p>
    <w:p w14:paraId="010CC93E" w14:textId="1D7FDAA8" w:rsidR="000A202A" w:rsidRDefault="000A202A" w:rsidP="000A202A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Podle zákona č. 128/2000 Sb., o obcích musí každá obec hájit své zájmy a zájmy obyvatel. Protože se </w:t>
      </w:r>
      <w:r w:rsidR="006665B3">
        <w:rPr>
          <w:rFonts w:ascii="Calibri Light" w:hAnsi="Calibri Light" w:cs="Calibri Light"/>
          <w:sz w:val="24"/>
          <w:szCs w:val="24"/>
        </w:rPr>
        <w:t>Město</w:t>
      </w:r>
      <w:r>
        <w:rPr>
          <w:rFonts w:ascii="Calibri Light" w:hAnsi="Calibri Light" w:cs="Calibri Light"/>
          <w:sz w:val="24"/>
          <w:szCs w:val="24"/>
        </w:rPr>
        <w:t xml:space="preserve"> nachází v blízkosti </w:t>
      </w:r>
      <w:r w:rsidR="006665B3">
        <w:rPr>
          <w:rFonts w:ascii="Calibri Light" w:hAnsi="Calibri Light" w:cs="Calibri Light"/>
          <w:sz w:val="24"/>
          <w:szCs w:val="24"/>
        </w:rPr>
        <w:t>Brna</w:t>
      </w:r>
      <w:r>
        <w:rPr>
          <w:rFonts w:ascii="Calibri Light" w:hAnsi="Calibri Light" w:cs="Calibri Light"/>
          <w:sz w:val="24"/>
          <w:szCs w:val="24"/>
        </w:rPr>
        <w:t xml:space="preserve">, roste zájem o výstavbu na jejím území. </w:t>
      </w:r>
      <w:r w:rsidR="00E44910">
        <w:rPr>
          <w:rFonts w:ascii="Calibri Light" w:hAnsi="Calibri Light" w:cs="Calibri Light"/>
          <w:sz w:val="24"/>
          <w:szCs w:val="24"/>
        </w:rPr>
        <w:t>Nárůst počtu obyvatel</w:t>
      </w:r>
      <w:r>
        <w:rPr>
          <w:rFonts w:ascii="Calibri Light" w:hAnsi="Calibri Light" w:cs="Calibri Light"/>
          <w:sz w:val="24"/>
          <w:szCs w:val="24"/>
        </w:rPr>
        <w:t xml:space="preserve"> s sebou nese další a další požadavky na veřejnou infrastrukturu – silnice, chodníky, osvětlení, kanalizaci, vodovod nebo nová místa ve školce a škole</w:t>
      </w:r>
      <w:r w:rsidR="00DE58A6">
        <w:rPr>
          <w:rFonts w:ascii="Calibri Light" w:hAnsi="Calibri Light" w:cs="Calibri Light"/>
          <w:sz w:val="24"/>
          <w:szCs w:val="24"/>
        </w:rPr>
        <w:t xml:space="preserve">. To samozřejmě znamená velmi vysoké náklady na obecní rozpočet a kvůli podobným výdajům není možné řešit jiné problémy. </w:t>
      </w:r>
      <w:r w:rsidR="002B325A">
        <w:rPr>
          <w:rFonts w:ascii="Calibri Light" w:hAnsi="Calibri Light" w:cs="Calibri Light"/>
          <w:sz w:val="24"/>
          <w:szCs w:val="24"/>
        </w:rPr>
        <w:t xml:space="preserve">Také se správou a údržbou veřejné infrastruktury, kterou budují investoři, ale předávají ji Městu, jsou spojeny nemalé náklady. </w:t>
      </w:r>
    </w:p>
    <w:p w14:paraId="62910E76" w14:textId="4B3D2DF9" w:rsidR="00DE58A6" w:rsidRDefault="006665B3" w:rsidP="000A202A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Město</w:t>
      </w:r>
      <w:r w:rsidR="00DE58A6">
        <w:rPr>
          <w:rFonts w:ascii="Calibri Light" w:hAnsi="Calibri Light" w:cs="Calibri Light"/>
          <w:sz w:val="24"/>
          <w:szCs w:val="24"/>
        </w:rPr>
        <w:t xml:space="preserve"> tedy v zájmu svém a v zájmu svých obyvatel, pro které má zajišťovat celé spektrum služeb v určité kvalitě</w:t>
      </w:r>
      <w:r w:rsidR="008B6B01">
        <w:rPr>
          <w:rFonts w:ascii="Calibri Light" w:hAnsi="Calibri Light" w:cs="Calibri Light"/>
          <w:sz w:val="24"/>
          <w:szCs w:val="24"/>
        </w:rPr>
        <w:t>,</w:t>
      </w:r>
      <w:r w:rsidR="00DE58A6">
        <w:rPr>
          <w:rFonts w:ascii="Calibri Light" w:hAnsi="Calibri Light" w:cs="Calibri Light"/>
          <w:sz w:val="24"/>
          <w:szCs w:val="24"/>
        </w:rPr>
        <w:t xml:space="preserve"> přijal</w:t>
      </w:r>
      <w:r w:rsidR="002B325A">
        <w:rPr>
          <w:rFonts w:ascii="Calibri Light" w:hAnsi="Calibri Light" w:cs="Calibri Light"/>
          <w:sz w:val="24"/>
          <w:szCs w:val="24"/>
        </w:rPr>
        <w:t>o</w:t>
      </w:r>
      <w:r w:rsidR="00DE58A6">
        <w:rPr>
          <w:rFonts w:ascii="Calibri Light" w:hAnsi="Calibri Light" w:cs="Calibri Light"/>
          <w:sz w:val="24"/>
          <w:szCs w:val="24"/>
        </w:rPr>
        <w:t xml:space="preserve"> Zásady, podle kterých se každý stavebník, ať už developer nebo občan</w:t>
      </w:r>
      <w:r w:rsidR="001E4BCD">
        <w:rPr>
          <w:rFonts w:ascii="Calibri Light" w:hAnsi="Calibri Light" w:cs="Calibri Light"/>
          <w:sz w:val="24"/>
          <w:szCs w:val="24"/>
        </w:rPr>
        <w:t xml:space="preserve"> (dále jen „investor“)</w:t>
      </w:r>
      <w:r w:rsidR="00DE58A6">
        <w:rPr>
          <w:rFonts w:ascii="Calibri Light" w:hAnsi="Calibri Light" w:cs="Calibri Light"/>
          <w:sz w:val="24"/>
          <w:szCs w:val="24"/>
        </w:rPr>
        <w:t>, musí podílet na nákladech, které nová výstavba vyvolá. Tyto náklady představují jen část všech investic, které musí vynakládat</w:t>
      </w:r>
      <w:r w:rsidR="008B6B01">
        <w:rPr>
          <w:rFonts w:ascii="Calibri Light" w:hAnsi="Calibri Light" w:cs="Calibri Light"/>
          <w:sz w:val="24"/>
          <w:szCs w:val="24"/>
        </w:rPr>
        <w:t xml:space="preserve"> na veřejnou infrastrukturu</w:t>
      </w:r>
      <w:r w:rsidR="00DE58A6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Město</w:t>
      </w:r>
      <w:r w:rsidR="00DE58A6">
        <w:rPr>
          <w:rFonts w:ascii="Calibri Light" w:hAnsi="Calibri Light" w:cs="Calibri Light"/>
          <w:sz w:val="24"/>
          <w:szCs w:val="24"/>
        </w:rPr>
        <w:t>.</w:t>
      </w:r>
    </w:p>
    <w:p w14:paraId="3274F44C" w14:textId="77777777" w:rsidR="00663603" w:rsidRDefault="00663603" w:rsidP="000A202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71E4B4E2" w14:textId="53A3D463" w:rsidR="00CE718D" w:rsidRDefault="00CE718D" w:rsidP="00CE718D">
      <w:pPr>
        <w:pStyle w:val="Odstavecseseznamem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Musí </w:t>
      </w:r>
      <w:r w:rsidR="006665B3">
        <w:rPr>
          <w:rFonts w:ascii="Calibri Light" w:hAnsi="Calibri Light" w:cs="Calibri Light"/>
          <w:b/>
          <w:bCs/>
          <w:sz w:val="24"/>
          <w:szCs w:val="24"/>
        </w:rPr>
        <w:t>Město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B325A">
        <w:rPr>
          <w:rFonts w:ascii="Calibri Light" w:hAnsi="Calibri Light" w:cs="Calibri Light"/>
          <w:b/>
          <w:bCs/>
          <w:sz w:val="24"/>
          <w:szCs w:val="24"/>
        </w:rPr>
        <w:t>pro stavebníky zajišťovat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infrastrukturu? </w:t>
      </w:r>
    </w:p>
    <w:p w14:paraId="6DFC3C9B" w14:textId="7CB8D18F" w:rsidR="00CE718D" w:rsidRDefault="006665B3" w:rsidP="001E4BCD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Město</w:t>
      </w:r>
      <w:r w:rsidR="001E4BCD" w:rsidRPr="001E4BCD">
        <w:rPr>
          <w:rFonts w:ascii="Calibri Light" w:hAnsi="Calibri Light" w:cs="Calibri Light"/>
          <w:sz w:val="24"/>
          <w:szCs w:val="24"/>
        </w:rPr>
        <w:t xml:space="preserve"> nemá povinnost</w:t>
      </w:r>
      <w:r w:rsidR="001E4BCD">
        <w:rPr>
          <w:rFonts w:ascii="Calibri Light" w:hAnsi="Calibri Light" w:cs="Calibri Light"/>
          <w:sz w:val="24"/>
          <w:szCs w:val="24"/>
        </w:rPr>
        <w:t xml:space="preserve"> budovat novou</w:t>
      </w:r>
      <w:r w:rsidR="00286233">
        <w:rPr>
          <w:rFonts w:ascii="Calibri Light" w:hAnsi="Calibri Light" w:cs="Calibri Light"/>
          <w:sz w:val="24"/>
          <w:szCs w:val="24"/>
        </w:rPr>
        <w:t xml:space="preserve"> veřejnou</w:t>
      </w:r>
      <w:r w:rsidR="001E4BCD">
        <w:rPr>
          <w:rFonts w:ascii="Calibri Light" w:hAnsi="Calibri Light" w:cs="Calibri Light"/>
          <w:sz w:val="24"/>
          <w:szCs w:val="24"/>
        </w:rPr>
        <w:t xml:space="preserve"> infrastrukturu </w:t>
      </w:r>
      <w:r w:rsidR="000B2E4D">
        <w:rPr>
          <w:rFonts w:ascii="Calibri Light" w:hAnsi="Calibri Light" w:cs="Calibri Light"/>
          <w:sz w:val="24"/>
          <w:szCs w:val="24"/>
        </w:rPr>
        <w:t xml:space="preserve">(ani technickou, ani dopravní) </w:t>
      </w:r>
      <w:r w:rsidR="001E4BCD">
        <w:rPr>
          <w:rFonts w:ascii="Calibri Light" w:hAnsi="Calibri Light" w:cs="Calibri Light"/>
          <w:sz w:val="24"/>
          <w:szCs w:val="24"/>
        </w:rPr>
        <w:t>nebo rozšiřovat stávají</w:t>
      </w:r>
      <w:r w:rsidR="000B2E4D">
        <w:rPr>
          <w:rFonts w:ascii="Calibri Light" w:hAnsi="Calibri Light" w:cs="Calibri Light"/>
          <w:sz w:val="24"/>
          <w:szCs w:val="24"/>
        </w:rPr>
        <w:t>cí</w:t>
      </w:r>
      <w:r w:rsidR="001E4BCD">
        <w:rPr>
          <w:rFonts w:ascii="Calibri Light" w:hAnsi="Calibri Light" w:cs="Calibri Light"/>
          <w:sz w:val="24"/>
          <w:szCs w:val="24"/>
        </w:rPr>
        <w:t xml:space="preserve"> tak, aby</w:t>
      </w:r>
      <w:r w:rsidR="009732F5">
        <w:rPr>
          <w:rFonts w:ascii="Calibri Light" w:hAnsi="Calibri Light" w:cs="Calibri Light"/>
          <w:sz w:val="24"/>
          <w:szCs w:val="24"/>
        </w:rPr>
        <w:t xml:space="preserve"> na ni</w:t>
      </w:r>
      <w:r w:rsidR="001E4BCD">
        <w:rPr>
          <w:rFonts w:ascii="Calibri Light" w:hAnsi="Calibri Light" w:cs="Calibri Light"/>
          <w:sz w:val="24"/>
          <w:szCs w:val="24"/>
        </w:rPr>
        <w:t xml:space="preserve"> mohly být napojeny nové nemovitosti. Jestliže je ale infrastruktura zastaralá, nedostatečná nebo v některých lokalitách dokonce zcela chybí, je věcí investorů, </w:t>
      </w:r>
      <w:r w:rsidR="002B325A">
        <w:rPr>
          <w:rFonts w:ascii="Calibri Light" w:hAnsi="Calibri Light" w:cs="Calibri Light"/>
          <w:sz w:val="24"/>
          <w:szCs w:val="24"/>
        </w:rPr>
        <w:t xml:space="preserve">kteří chtějí v dané lokalitě realizovat své záměry, aby </w:t>
      </w:r>
      <w:r w:rsidR="001E4BCD">
        <w:rPr>
          <w:rFonts w:ascii="Calibri Light" w:hAnsi="Calibri Light" w:cs="Calibri Light"/>
          <w:sz w:val="24"/>
          <w:szCs w:val="24"/>
        </w:rPr>
        <w:t>infrastrukturu vybud</w:t>
      </w:r>
      <w:r w:rsidR="002B325A">
        <w:rPr>
          <w:rFonts w:ascii="Calibri Light" w:hAnsi="Calibri Light" w:cs="Calibri Light"/>
          <w:sz w:val="24"/>
          <w:szCs w:val="24"/>
        </w:rPr>
        <w:t>ovali</w:t>
      </w:r>
      <w:r w:rsidR="001E4BCD">
        <w:rPr>
          <w:rFonts w:ascii="Calibri Light" w:hAnsi="Calibri Light" w:cs="Calibri Light"/>
          <w:sz w:val="24"/>
          <w:szCs w:val="24"/>
        </w:rPr>
        <w:t xml:space="preserve">. </w:t>
      </w:r>
      <w:r w:rsidR="006565D6">
        <w:rPr>
          <w:rFonts w:ascii="Calibri Light" w:hAnsi="Calibri Light" w:cs="Calibri Light"/>
          <w:sz w:val="24"/>
          <w:szCs w:val="24"/>
        </w:rPr>
        <w:t xml:space="preserve">Právní předpisy dokonce počítají s tím, že v případě, kdy </w:t>
      </w:r>
      <w:r w:rsidR="00F03E5C">
        <w:rPr>
          <w:rFonts w:ascii="Calibri Light" w:hAnsi="Calibri Light" w:cs="Calibri Light"/>
          <w:sz w:val="24"/>
          <w:szCs w:val="24"/>
        </w:rPr>
        <w:t xml:space="preserve">zcela </w:t>
      </w:r>
      <w:r w:rsidR="006565D6">
        <w:rPr>
          <w:rFonts w:ascii="Calibri Light" w:hAnsi="Calibri Light" w:cs="Calibri Light"/>
          <w:sz w:val="24"/>
          <w:szCs w:val="24"/>
        </w:rPr>
        <w:t>chybí kapacita vodovodu či kanalizace, není možn</w:t>
      </w:r>
      <w:r w:rsidR="000B2E4D">
        <w:rPr>
          <w:rFonts w:ascii="Calibri Light" w:hAnsi="Calibri Light" w:cs="Calibri Light"/>
          <w:sz w:val="24"/>
          <w:szCs w:val="24"/>
        </w:rPr>
        <w:t>é</w:t>
      </w:r>
      <w:r w:rsidR="006565D6">
        <w:rPr>
          <w:rFonts w:ascii="Calibri Light" w:hAnsi="Calibri Light" w:cs="Calibri Light"/>
          <w:sz w:val="24"/>
          <w:szCs w:val="24"/>
        </w:rPr>
        <w:t xml:space="preserve"> připojovat další stavby.</w:t>
      </w:r>
      <w:r w:rsidR="001E4BCD">
        <w:rPr>
          <w:rFonts w:ascii="Calibri Light" w:hAnsi="Calibri Light" w:cs="Calibri Light"/>
          <w:sz w:val="24"/>
          <w:szCs w:val="24"/>
        </w:rPr>
        <w:t xml:space="preserve"> </w:t>
      </w:r>
    </w:p>
    <w:p w14:paraId="0E5665ED" w14:textId="594C4D97" w:rsidR="00663603" w:rsidRDefault="00663603" w:rsidP="001E4BCD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5F497065" w14:textId="77777777" w:rsidR="002B325A" w:rsidRPr="001E4BCD" w:rsidRDefault="002B325A" w:rsidP="001E4BCD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00AE05EA" w14:textId="77777777" w:rsidR="000A202A" w:rsidRDefault="000A202A" w:rsidP="00CE718D">
      <w:pPr>
        <w:pStyle w:val="Odstavecseseznamem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E58A6">
        <w:rPr>
          <w:rFonts w:ascii="Calibri Light" w:hAnsi="Calibri Light" w:cs="Calibri Light"/>
          <w:b/>
          <w:bCs/>
          <w:sz w:val="24"/>
          <w:szCs w:val="24"/>
        </w:rPr>
        <w:lastRenderedPageBreak/>
        <w:t>Na jakou výstavbu se Zásady vztahují?</w:t>
      </w:r>
    </w:p>
    <w:p w14:paraId="2F25A25F" w14:textId="73E8EDD4" w:rsidR="00DE58A6" w:rsidRDefault="00DE58A6" w:rsidP="00CE718D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CE718D">
        <w:rPr>
          <w:rFonts w:ascii="Calibri Light" w:hAnsi="Calibri Light" w:cs="Calibri Light"/>
          <w:sz w:val="24"/>
          <w:szCs w:val="24"/>
        </w:rPr>
        <w:t xml:space="preserve">Zásady se vztahují na </w:t>
      </w:r>
      <w:r w:rsidR="00CE718D" w:rsidRPr="00CE718D">
        <w:rPr>
          <w:rFonts w:ascii="Calibri Light" w:hAnsi="Calibri Light" w:cs="Calibri Light"/>
          <w:sz w:val="24"/>
          <w:szCs w:val="24"/>
        </w:rPr>
        <w:t>rezidenční (bytovou) i nebytovou výstavbu – různé provozy, služby, průmysl, obchody a podobně</w:t>
      </w:r>
      <w:r w:rsidR="00CE718D">
        <w:rPr>
          <w:rFonts w:ascii="Calibri Light" w:hAnsi="Calibri Light" w:cs="Calibri Light"/>
          <w:sz w:val="24"/>
          <w:szCs w:val="24"/>
        </w:rPr>
        <w:t xml:space="preserve"> – u nebytových záměrů se Zásady budou týkat jen těch, které překročí </w:t>
      </w:r>
      <w:r w:rsidR="006665B3">
        <w:rPr>
          <w:rFonts w:ascii="Calibri Light" w:hAnsi="Calibri Light" w:cs="Calibri Light"/>
          <w:sz w:val="24"/>
          <w:szCs w:val="24"/>
        </w:rPr>
        <w:t>7</w:t>
      </w:r>
      <w:r w:rsidR="00F03E5C">
        <w:rPr>
          <w:rFonts w:ascii="Calibri Light" w:hAnsi="Calibri Light" w:cs="Calibri Light"/>
          <w:sz w:val="24"/>
          <w:szCs w:val="24"/>
        </w:rPr>
        <w:t>0</w:t>
      </w:r>
      <w:r w:rsidR="00CE718D">
        <w:rPr>
          <w:rFonts w:ascii="Calibri Light" w:hAnsi="Calibri Light" w:cs="Calibri Light"/>
          <w:sz w:val="24"/>
          <w:szCs w:val="24"/>
        </w:rPr>
        <w:t xml:space="preserve"> m</w:t>
      </w:r>
      <w:r w:rsidR="00CE718D" w:rsidRPr="00CE718D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="00CE718D">
        <w:rPr>
          <w:rFonts w:ascii="Calibri Light" w:hAnsi="Calibri Light" w:cs="Calibri Light"/>
          <w:sz w:val="24"/>
          <w:szCs w:val="24"/>
        </w:rPr>
        <w:t>. V Zásadách je definováno, že se tento dokument netýká nejrůznějších drobných staveb.</w:t>
      </w:r>
    </w:p>
    <w:p w14:paraId="503F2080" w14:textId="77777777" w:rsidR="00105D19" w:rsidRPr="001E4BCD" w:rsidRDefault="00105D19" w:rsidP="00CE718D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51D2F17A" w14:textId="77777777" w:rsidR="001E4BCD" w:rsidRDefault="001E4BCD" w:rsidP="001E4BCD">
      <w:pPr>
        <w:pStyle w:val="Odstavecseseznamem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Co musí investoři splnit?</w:t>
      </w:r>
    </w:p>
    <w:p w14:paraId="2486A7EE" w14:textId="04A2DC5F" w:rsidR="001E4BCD" w:rsidRDefault="001E4BCD" w:rsidP="001E4BCD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Je samozřejmé, že si každý investor odpovídá sám za vybudování infrastruktury potřebné pro svůj záměr – každý si vybuduje příjezdovou komunikaci, osvětlení, popř. chodníky, přípojku k vodovodu a kanalizaci. </w:t>
      </w:r>
      <w:r w:rsidR="006665B3">
        <w:rPr>
          <w:rFonts w:ascii="Calibri Light" w:hAnsi="Calibri Light" w:cs="Calibri Light"/>
          <w:sz w:val="24"/>
          <w:szCs w:val="24"/>
        </w:rPr>
        <w:t>Město</w:t>
      </w:r>
      <w:r>
        <w:rPr>
          <w:rFonts w:ascii="Calibri Light" w:hAnsi="Calibri Light" w:cs="Calibri Light"/>
          <w:sz w:val="24"/>
          <w:szCs w:val="24"/>
        </w:rPr>
        <w:t xml:space="preserve"> nemá povinnost infrastrukturu převzít a starat se o ni, pokud investor nesplní technické požadavky na tuto infrastrukturu</w:t>
      </w:r>
      <w:r w:rsidR="00995388">
        <w:rPr>
          <w:rFonts w:ascii="Calibri Light" w:hAnsi="Calibri Light" w:cs="Calibri Light"/>
          <w:sz w:val="24"/>
          <w:szCs w:val="24"/>
        </w:rPr>
        <w:t>, které byly s </w:t>
      </w:r>
      <w:r w:rsidR="006665B3">
        <w:rPr>
          <w:rFonts w:ascii="Calibri Light" w:hAnsi="Calibri Light" w:cs="Calibri Light"/>
          <w:sz w:val="24"/>
          <w:szCs w:val="24"/>
        </w:rPr>
        <w:t>Městem</w:t>
      </w:r>
      <w:r w:rsidR="00995388">
        <w:rPr>
          <w:rFonts w:ascii="Calibri Light" w:hAnsi="Calibri Light" w:cs="Calibri Light"/>
          <w:sz w:val="24"/>
          <w:szCs w:val="24"/>
        </w:rPr>
        <w:t xml:space="preserve"> domluveny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5CE52615" w14:textId="57BFE7FC" w:rsidR="001E4BCD" w:rsidRDefault="001E4BCD" w:rsidP="001E4BCD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Dále se každý investor podílí prostřednictvím jednorázového finančního příspěvku na úhradě dalších nákladů, které jeho výstavby v</w:t>
      </w:r>
      <w:r w:rsidR="006665B3">
        <w:rPr>
          <w:rFonts w:ascii="Calibri Light" w:hAnsi="Calibri Light" w:cs="Calibri Light"/>
          <w:sz w:val="24"/>
          <w:szCs w:val="24"/>
        </w:rPr>
        <w:t>e Městě</w:t>
      </w:r>
      <w:r>
        <w:rPr>
          <w:rFonts w:ascii="Calibri Light" w:hAnsi="Calibri Light" w:cs="Calibri Light"/>
          <w:sz w:val="24"/>
          <w:szCs w:val="24"/>
        </w:rPr>
        <w:t xml:space="preserve"> vyvolá</w:t>
      </w:r>
      <w:r w:rsidR="004C1E17">
        <w:rPr>
          <w:rFonts w:ascii="Calibri Light" w:hAnsi="Calibri Light" w:cs="Calibri Light"/>
          <w:sz w:val="24"/>
          <w:szCs w:val="24"/>
        </w:rPr>
        <w:t>.</w:t>
      </w:r>
    </w:p>
    <w:p w14:paraId="000FABDB" w14:textId="77777777" w:rsidR="00A029B8" w:rsidRPr="001E4BCD" w:rsidRDefault="00A029B8" w:rsidP="001E4BCD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5DF2DE8D" w14:textId="77777777" w:rsidR="00B36D32" w:rsidRDefault="00B36D32" w:rsidP="001E4BCD">
      <w:pPr>
        <w:pStyle w:val="Odstavecseseznamem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Kolik činí finanční příspěvek?</w:t>
      </w:r>
    </w:p>
    <w:p w14:paraId="1B1047F1" w14:textId="1DA74ECD" w:rsidR="00494285" w:rsidRDefault="00494285" w:rsidP="00B36D32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Výše finančního příspěvku se liší podle rozsahu záměru. Celková výše příspěvku </w:t>
      </w:r>
      <w:r w:rsidR="00186CDA">
        <w:rPr>
          <w:rFonts w:ascii="Calibri Light" w:hAnsi="Calibri Light" w:cs="Calibri Light"/>
          <w:sz w:val="24"/>
          <w:szCs w:val="24"/>
        </w:rPr>
        <w:t>je</w:t>
      </w:r>
      <w:r>
        <w:rPr>
          <w:rFonts w:ascii="Calibri Light" w:hAnsi="Calibri Light" w:cs="Calibri Light"/>
          <w:sz w:val="24"/>
          <w:szCs w:val="24"/>
        </w:rPr>
        <w:t xml:space="preserve"> složena z příspěvku na likvidaci odpadních vod, zásobování pitnou vodou a na dopravní infrastrukturu. Například příspěvek pro byt o výměře od 60 do 80 m2 činí </w:t>
      </w:r>
      <w:r w:rsidR="006665B3">
        <w:rPr>
          <w:rFonts w:ascii="Calibri Light" w:hAnsi="Calibri Light" w:cs="Calibri Light"/>
          <w:sz w:val="24"/>
          <w:szCs w:val="24"/>
        </w:rPr>
        <w:t>95 900</w:t>
      </w:r>
      <w:r>
        <w:rPr>
          <w:rFonts w:ascii="Calibri Light" w:hAnsi="Calibri Light" w:cs="Calibri Light"/>
          <w:sz w:val="24"/>
          <w:szCs w:val="24"/>
        </w:rPr>
        <w:t>,- Kč.</w:t>
      </w:r>
    </w:p>
    <w:p w14:paraId="62EE7F55" w14:textId="77777777" w:rsidR="00494285" w:rsidRPr="00B36D32" w:rsidRDefault="00494285" w:rsidP="00B36D32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3667C72A" w14:textId="591E79BF" w:rsidR="00CE718D" w:rsidRDefault="00DE58A6" w:rsidP="001E4BCD">
      <w:pPr>
        <w:pStyle w:val="Odstavecseseznamem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Jak mají </w:t>
      </w:r>
      <w:r w:rsidR="000F67F7">
        <w:rPr>
          <w:rFonts w:ascii="Calibri Light" w:hAnsi="Calibri Light" w:cs="Calibri Light"/>
          <w:b/>
          <w:bCs/>
          <w:sz w:val="24"/>
          <w:szCs w:val="24"/>
        </w:rPr>
        <w:t>investoři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postupovat?</w:t>
      </w:r>
    </w:p>
    <w:p w14:paraId="0F95A815" w14:textId="09D598AC" w:rsidR="008E6B66" w:rsidRDefault="001E4BCD" w:rsidP="001E4BCD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Každý, kdo chce v</w:t>
      </w:r>
      <w:r w:rsidR="00A13B59">
        <w:rPr>
          <w:rFonts w:ascii="Calibri Light" w:hAnsi="Calibri Light" w:cs="Calibri Light"/>
          <w:sz w:val="24"/>
          <w:szCs w:val="24"/>
        </w:rPr>
        <w:t>e Městě</w:t>
      </w:r>
      <w:r>
        <w:rPr>
          <w:rFonts w:ascii="Calibri Light" w:hAnsi="Calibri Light" w:cs="Calibri Light"/>
          <w:sz w:val="24"/>
          <w:szCs w:val="24"/>
        </w:rPr>
        <w:t xml:space="preserve"> stavět, musí s předstihem zajít </w:t>
      </w:r>
      <w:r w:rsidR="00B60593">
        <w:rPr>
          <w:rFonts w:ascii="Calibri Light" w:hAnsi="Calibri Light" w:cs="Calibri Light"/>
          <w:sz w:val="24"/>
          <w:szCs w:val="24"/>
        </w:rPr>
        <w:t xml:space="preserve">na </w:t>
      </w:r>
      <w:r w:rsidR="00A13B59">
        <w:rPr>
          <w:rFonts w:ascii="Calibri Light" w:hAnsi="Calibri Light" w:cs="Calibri Light"/>
          <w:sz w:val="24"/>
          <w:szCs w:val="24"/>
        </w:rPr>
        <w:t>úřad</w:t>
      </w:r>
      <w:r>
        <w:rPr>
          <w:rFonts w:ascii="Calibri Light" w:hAnsi="Calibri Light" w:cs="Calibri Light"/>
          <w:sz w:val="24"/>
          <w:szCs w:val="24"/>
        </w:rPr>
        <w:t xml:space="preserve"> a předložit formulář, který je přílohou Zásad a projektovou dokumentaci k chystanému záměru. </w:t>
      </w:r>
      <w:r w:rsidR="00E93925">
        <w:rPr>
          <w:rFonts w:ascii="Calibri Light" w:hAnsi="Calibri Light" w:cs="Calibri Light"/>
          <w:sz w:val="24"/>
          <w:szCs w:val="24"/>
        </w:rPr>
        <w:t>Město</w:t>
      </w:r>
      <w:r>
        <w:rPr>
          <w:rFonts w:ascii="Calibri Light" w:hAnsi="Calibri Light" w:cs="Calibri Light"/>
          <w:sz w:val="24"/>
          <w:szCs w:val="24"/>
        </w:rPr>
        <w:t xml:space="preserve"> záměr posoudí a vydává stanovisko a u jednodušších případů (jako jsou jednotlivé rodinné domky) také pošle investorům návrh smluv o infrastruktuře a finančním příspěvku. U složitějších případů zpravidla dojde k několika ústním jednáním o stanovisku i o obsahu smluv. Pak </w:t>
      </w:r>
      <w:r w:rsidR="00E93925">
        <w:rPr>
          <w:rFonts w:ascii="Calibri Light" w:hAnsi="Calibri Light" w:cs="Calibri Light"/>
          <w:sz w:val="24"/>
          <w:szCs w:val="24"/>
        </w:rPr>
        <w:t>Město</w:t>
      </w:r>
      <w:r>
        <w:rPr>
          <w:rFonts w:ascii="Calibri Light" w:hAnsi="Calibri Light" w:cs="Calibri Light"/>
          <w:sz w:val="24"/>
          <w:szCs w:val="24"/>
        </w:rPr>
        <w:t xml:space="preserve"> vydá finální stanovisko a podepisují se smlouvy</w:t>
      </w:r>
      <w:r w:rsidR="00964964">
        <w:rPr>
          <w:rFonts w:ascii="Calibri Light" w:hAnsi="Calibri Light" w:cs="Calibri Light"/>
          <w:sz w:val="24"/>
          <w:szCs w:val="24"/>
        </w:rPr>
        <w:t xml:space="preserve"> o budování veřejné infrastruktury a o finančním příspěvku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60DC7C91" w14:textId="38D8FF4D" w:rsidR="0041027F" w:rsidRDefault="0041027F" w:rsidP="001E4BCD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170CE8">
        <w:rPr>
          <w:rFonts w:ascii="Calibri Light" w:hAnsi="Calibri Light" w:cs="Calibri Light"/>
          <w:sz w:val="24"/>
          <w:szCs w:val="24"/>
        </w:rPr>
        <w:lastRenderedPageBreak/>
        <w:t>Zjedn</w:t>
      </w:r>
      <w:r w:rsidR="00592A78" w:rsidRPr="00170CE8">
        <w:rPr>
          <w:rFonts w:ascii="Calibri Light" w:hAnsi="Calibri Light" w:cs="Calibri Light"/>
          <w:sz w:val="24"/>
          <w:szCs w:val="24"/>
        </w:rPr>
        <w:t>o</w:t>
      </w:r>
      <w:r w:rsidRPr="00170CE8">
        <w:rPr>
          <w:rFonts w:ascii="Calibri Light" w:hAnsi="Calibri Light" w:cs="Calibri Light"/>
          <w:sz w:val="24"/>
          <w:szCs w:val="24"/>
        </w:rPr>
        <w:t xml:space="preserve">dušený postup najdete </w:t>
      </w:r>
      <w:r w:rsidR="00170CE8" w:rsidRPr="00170CE8">
        <w:rPr>
          <w:rFonts w:ascii="Calibri Light" w:hAnsi="Calibri Light" w:cs="Calibri Light"/>
          <w:sz w:val="24"/>
          <w:szCs w:val="24"/>
        </w:rPr>
        <w:t>v grafické příloze.</w:t>
      </w:r>
    </w:p>
    <w:p w14:paraId="46506D2D" w14:textId="054051FA" w:rsidR="001E4BCD" w:rsidRDefault="001E4BCD" w:rsidP="001E4BCD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40ABE3C4" w14:textId="77777777" w:rsidR="000A202A" w:rsidRPr="00DE58A6" w:rsidRDefault="000A202A" w:rsidP="00CE718D">
      <w:pPr>
        <w:pStyle w:val="Odstavecseseznamem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E58A6">
        <w:rPr>
          <w:rFonts w:ascii="Calibri Light" w:hAnsi="Calibri Light" w:cs="Calibri Light"/>
          <w:b/>
          <w:bCs/>
          <w:sz w:val="24"/>
          <w:szCs w:val="24"/>
        </w:rPr>
        <w:t>Jsou Zásady závazné?</w:t>
      </w:r>
    </w:p>
    <w:p w14:paraId="1D4DBC2F" w14:textId="7585E75F" w:rsidR="000A202A" w:rsidRDefault="001E4BCD" w:rsidP="000A202A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Zásady nejsou závazným podkladem pro územní řízení nebo podobné procesy podle zákona č. 183/2006 Sb., stavební zákon. Vyjadřují ale potřeby </w:t>
      </w:r>
      <w:r w:rsidR="0080417C">
        <w:rPr>
          <w:rFonts w:ascii="Calibri Light" w:hAnsi="Calibri Light" w:cs="Calibri Light"/>
          <w:sz w:val="24"/>
          <w:szCs w:val="24"/>
        </w:rPr>
        <w:t>Města</w:t>
      </w:r>
      <w:r>
        <w:rPr>
          <w:rFonts w:ascii="Calibri Light" w:hAnsi="Calibri Light" w:cs="Calibri Light"/>
          <w:sz w:val="24"/>
          <w:szCs w:val="24"/>
        </w:rPr>
        <w:t xml:space="preserve">, bez jejichž splnění zpravidla nemůže být nová výstavba v souladu se zájmy </w:t>
      </w:r>
      <w:r w:rsidR="0080417C">
        <w:rPr>
          <w:rFonts w:ascii="Calibri Light" w:hAnsi="Calibri Light" w:cs="Calibri Light"/>
          <w:sz w:val="24"/>
          <w:szCs w:val="24"/>
        </w:rPr>
        <w:t>Města</w:t>
      </w:r>
      <w:r w:rsidR="0034124A">
        <w:rPr>
          <w:rFonts w:ascii="Calibri Light" w:hAnsi="Calibri Light" w:cs="Calibri Light"/>
          <w:sz w:val="24"/>
          <w:szCs w:val="24"/>
        </w:rPr>
        <w:t xml:space="preserve">. </w:t>
      </w:r>
      <w:r w:rsidR="0080417C">
        <w:rPr>
          <w:rFonts w:ascii="Calibri Light" w:hAnsi="Calibri Light" w:cs="Calibri Light"/>
          <w:sz w:val="24"/>
          <w:szCs w:val="24"/>
        </w:rPr>
        <w:t xml:space="preserve">Město </w:t>
      </w:r>
      <w:r w:rsidR="0034124A">
        <w:rPr>
          <w:rFonts w:ascii="Calibri Light" w:hAnsi="Calibri Light" w:cs="Calibri Light"/>
          <w:sz w:val="24"/>
          <w:szCs w:val="24"/>
        </w:rPr>
        <w:t>proto bude vždy usilovat o to, aby se investoři spravedlivě a nediskriminačním způsobem podíleli na úhradě alespoň části nákladů, které jejich výstavba v</w:t>
      </w:r>
      <w:r w:rsidR="0080417C">
        <w:rPr>
          <w:rFonts w:ascii="Calibri Light" w:hAnsi="Calibri Light" w:cs="Calibri Light"/>
          <w:sz w:val="24"/>
          <w:szCs w:val="24"/>
        </w:rPr>
        <w:t>e Městě</w:t>
      </w:r>
      <w:r w:rsidR="0034124A">
        <w:rPr>
          <w:rFonts w:ascii="Calibri Light" w:hAnsi="Calibri Light" w:cs="Calibri Light"/>
          <w:sz w:val="24"/>
          <w:szCs w:val="24"/>
        </w:rPr>
        <w:t xml:space="preserve"> vyvolá.</w:t>
      </w:r>
      <w:r w:rsidR="003773F5">
        <w:rPr>
          <w:rFonts w:ascii="Calibri Light" w:hAnsi="Calibri Light" w:cs="Calibri Light"/>
          <w:sz w:val="24"/>
          <w:szCs w:val="24"/>
        </w:rPr>
        <w:t xml:space="preserve"> Investor se proto může rozhodnout postupovat mimo Zásady, ale výstavba bez</w:t>
      </w:r>
      <w:bookmarkStart w:id="0" w:name="_GoBack"/>
      <w:r w:rsidR="003773F5">
        <w:rPr>
          <w:rFonts w:ascii="Calibri Light" w:hAnsi="Calibri Light" w:cs="Calibri Light"/>
          <w:sz w:val="24"/>
          <w:szCs w:val="24"/>
        </w:rPr>
        <w:t xml:space="preserve"> </w:t>
      </w:r>
      <w:bookmarkEnd w:id="0"/>
      <w:r w:rsidR="003773F5">
        <w:rPr>
          <w:rFonts w:ascii="Calibri Light" w:hAnsi="Calibri Light" w:cs="Calibri Light"/>
          <w:sz w:val="24"/>
          <w:szCs w:val="24"/>
        </w:rPr>
        <w:t xml:space="preserve">řešení infrastruktury zpravidla nebude v zájmu </w:t>
      </w:r>
      <w:r w:rsidR="0080417C">
        <w:rPr>
          <w:rFonts w:ascii="Calibri Light" w:hAnsi="Calibri Light" w:cs="Calibri Light"/>
          <w:sz w:val="24"/>
          <w:szCs w:val="24"/>
        </w:rPr>
        <w:t>Města</w:t>
      </w:r>
      <w:r w:rsidR="003773F5">
        <w:rPr>
          <w:rFonts w:ascii="Calibri Light" w:hAnsi="Calibri Light" w:cs="Calibri Light"/>
          <w:sz w:val="24"/>
          <w:szCs w:val="24"/>
        </w:rPr>
        <w:t xml:space="preserve">. </w:t>
      </w:r>
    </w:p>
    <w:p w14:paraId="0D50EA1A" w14:textId="77777777" w:rsidR="0066602B" w:rsidRDefault="0066602B" w:rsidP="000A202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4A3912B8" w14:textId="77777777" w:rsidR="00091442" w:rsidRDefault="00091442" w:rsidP="00091442">
      <w:pPr>
        <w:pStyle w:val="Odstavecseseznamem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091442">
        <w:rPr>
          <w:rFonts w:ascii="Calibri Light" w:hAnsi="Calibri Light" w:cs="Calibri Light"/>
          <w:b/>
          <w:bCs/>
          <w:sz w:val="24"/>
          <w:szCs w:val="24"/>
        </w:rPr>
        <w:t>Od kdy jsou Zásady účinné?</w:t>
      </w:r>
    </w:p>
    <w:p w14:paraId="0A8FE6CD" w14:textId="43308150" w:rsidR="00091442" w:rsidRDefault="00091442" w:rsidP="00091442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D7CBB">
        <w:rPr>
          <w:rFonts w:ascii="Calibri Light" w:hAnsi="Calibri Light" w:cs="Calibri Light"/>
          <w:sz w:val="24"/>
          <w:szCs w:val="24"/>
        </w:rPr>
        <w:t>Zásady v</w:t>
      </w:r>
      <w:r w:rsidR="005E3CEE" w:rsidRPr="00ED7CBB">
        <w:rPr>
          <w:rFonts w:ascii="Calibri Light" w:hAnsi="Calibri Light" w:cs="Calibri Light"/>
          <w:sz w:val="24"/>
          <w:szCs w:val="24"/>
        </w:rPr>
        <w:t>e Městě</w:t>
      </w:r>
      <w:r w:rsidRPr="00ED7CBB">
        <w:rPr>
          <w:rFonts w:ascii="Calibri Light" w:hAnsi="Calibri Light" w:cs="Calibri Light"/>
          <w:sz w:val="24"/>
          <w:szCs w:val="24"/>
        </w:rPr>
        <w:t xml:space="preserve"> platí od </w:t>
      </w:r>
      <w:r w:rsidR="00170CE8" w:rsidRPr="00ED7CBB">
        <w:rPr>
          <w:rFonts w:ascii="Calibri Light" w:hAnsi="Calibri Light" w:cs="Calibri Light"/>
          <w:sz w:val="24"/>
          <w:szCs w:val="24"/>
        </w:rPr>
        <w:t>1.1.2021.</w:t>
      </w:r>
    </w:p>
    <w:p w14:paraId="6F6A8E43" w14:textId="77777777" w:rsidR="00F72D06" w:rsidRPr="00091442" w:rsidRDefault="00F72D06" w:rsidP="00091442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4D9604AA" w14:textId="77777777" w:rsidR="00091442" w:rsidRDefault="00091442" w:rsidP="00091442">
      <w:pPr>
        <w:pStyle w:val="Odstavecseseznamem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091442">
        <w:rPr>
          <w:rFonts w:ascii="Calibri Light" w:hAnsi="Calibri Light" w:cs="Calibri Light"/>
          <w:b/>
          <w:bCs/>
          <w:sz w:val="24"/>
          <w:szCs w:val="24"/>
        </w:rPr>
        <w:t>Platí Zásady i pro stavby, které se už staví?</w:t>
      </w:r>
    </w:p>
    <w:p w14:paraId="0F3DBE75" w14:textId="031E3433" w:rsidR="00091442" w:rsidRDefault="00091442" w:rsidP="00091442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091442">
        <w:rPr>
          <w:rFonts w:ascii="Calibri Light" w:hAnsi="Calibri Light" w:cs="Calibri Light"/>
          <w:sz w:val="24"/>
          <w:szCs w:val="24"/>
        </w:rPr>
        <w:t>Jestliže máte platné alespoň územní rozhodnutí,</w:t>
      </w:r>
      <w:r w:rsidRPr="003C4D4A">
        <w:rPr>
          <w:rFonts w:ascii="Calibri Light" w:hAnsi="Calibri Light" w:cs="Calibri Light"/>
          <w:sz w:val="24"/>
          <w:szCs w:val="24"/>
        </w:rPr>
        <w:t xml:space="preserve"> územní rozhodnutí nebo společné územní a stavební rozhodnutí, nebo </w:t>
      </w:r>
      <w:r>
        <w:rPr>
          <w:rFonts w:ascii="Calibri Light" w:hAnsi="Calibri Light" w:cs="Calibri Light"/>
          <w:sz w:val="24"/>
          <w:szCs w:val="24"/>
        </w:rPr>
        <w:t xml:space="preserve">už </w:t>
      </w:r>
      <w:r w:rsidRPr="003C4D4A">
        <w:rPr>
          <w:rFonts w:ascii="Calibri Light" w:hAnsi="Calibri Light" w:cs="Calibri Light"/>
          <w:sz w:val="24"/>
          <w:szCs w:val="24"/>
        </w:rPr>
        <w:t xml:space="preserve">byla uzavřena veřejnoprávní smlouva nebo nabyl platnosti územní souhlas </w:t>
      </w:r>
      <w:r>
        <w:rPr>
          <w:rFonts w:ascii="Calibri Light" w:hAnsi="Calibri Light" w:cs="Calibri Light"/>
          <w:sz w:val="24"/>
          <w:szCs w:val="24"/>
        </w:rPr>
        <w:t xml:space="preserve">nebo souhlas s povedením ohlášeného záměru </w:t>
      </w:r>
      <w:r w:rsidRPr="003C4D4A">
        <w:rPr>
          <w:rFonts w:ascii="Calibri Light" w:hAnsi="Calibri Light" w:cs="Calibri Light"/>
          <w:sz w:val="24"/>
          <w:szCs w:val="24"/>
        </w:rPr>
        <w:t xml:space="preserve">nebo </w:t>
      </w:r>
      <w:r w:rsidR="008C6C4A">
        <w:rPr>
          <w:rFonts w:ascii="Calibri Light" w:hAnsi="Calibri Light" w:cs="Calibri Light"/>
          <w:sz w:val="24"/>
          <w:szCs w:val="24"/>
        </w:rPr>
        <w:t xml:space="preserve">platí-li </w:t>
      </w:r>
      <w:r w:rsidRPr="003C4D4A">
        <w:rPr>
          <w:rFonts w:ascii="Calibri Light" w:hAnsi="Calibri Light" w:cs="Calibri Light"/>
          <w:sz w:val="24"/>
          <w:szCs w:val="24"/>
        </w:rPr>
        <w:t xml:space="preserve">regulační plán, který nahrazuje územní rozhodnutí, </w:t>
      </w:r>
      <w:r>
        <w:rPr>
          <w:rFonts w:ascii="Calibri Light" w:hAnsi="Calibri Light" w:cs="Calibri Light"/>
          <w:sz w:val="24"/>
          <w:szCs w:val="24"/>
        </w:rPr>
        <w:t>podle Zásad se nepostupuje. To ale neznam</w:t>
      </w:r>
      <w:r w:rsidR="00964964"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 xml:space="preserve">ná, že by nebylo možné mezi </w:t>
      </w:r>
      <w:r w:rsidR="00A52A30">
        <w:rPr>
          <w:rFonts w:ascii="Calibri Light" w:hAnsi="Calibri Light" w:cs="Calibri Light"/>
          <w:sz w:val="24"/>
          <w:szCs w:val="24"/>
        </w:rPr>
        <w:t xml:space="preserve">Městem </w:t>
      </w:r>
      <w:r>
        <w:rPr>
          <w:rFonts w:ascii="Calibri Light" w:hAnsi="Calibri Light" w:cs="Calibri Light"/>
          <w:sz w:val="24"/>
          <w:szCs w:val="24"/>
        </w:rPr>
        <w:t>a investorem smlouvu o budování veřejné infrastruktury nebo smlouvu o finančním příspěvku uzavřít.</w:t>
      </w:r>
    </w:p>
    <w:p w14:paraId="57851239" w14:textId="77777777" w:rsidR="00FE42BB" w:rsidRDefault="00FE42BB" w:rsidP="00091442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4EC05A08" w14:textId="77777777" w:rsidR="005C5811" w:rsidRPr="005C5811" w:rsidRDefault="005C5811" w:rsidP="005C5811">
      <w:pPr>
        <w:pStyle w:val="Odstavecseseznamem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5C5811">
        <w:rPr>
          <w:rFonts w:ascii="Calibri Light" w:hAnsi="Calibri Light" w:cs="Calibri Light"/>
          <w:b/>
          <w:bCs/>
          <w:sz w:val="24"/>
          <w:szCs w:val="24"/>
        </w:rPr>
        <w:t>Kde Zásady najdete?</w:t>
      </w:r>
    </w:p>
    <w:p w14:paraId="444AC258" w14:textId="69251889" w:rsidR="005C5811" w:rsidRPr="00091442" w:rsidRDefault="005C5811" w:rsidP="00091442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170CE8">
        <w:rPr>
          <w:rFonts w:ascii="Calibri Light" w:hAnsi="Calibri Light" w:cs="Calibri Light"/>
          <w:sz w:val="24"/>
          <w:szCs w:val="24"/>
        </w:rPr>
        <w:t>Celé znění Zásad najdete na tomto odkazu:</w:t>
      </w:r>
      <w:r w:rsidR="00170CE8" w:rsidRPr="00170CE8">
        <w:rPr>
          <w:rFonts w:ascii="Calibri Light" w:hAnsi="Calibri Light" w:cs="Calibri Light"/>
          <w:sz w:val="24"/>
          <w:szCs w:val="24"/>
        </w:rPr>
        <w:t xml:space="preserve"> http://ujezdubrna.cz/zasady/</w:t>
      </w:r>
    </w:p>
    <w:sectPr w:rsidR="005C5811" w:rsidRPr="0009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2CE"/>
    <w:multiLevelType w:val="hybridMultilevel"/>
    <w:tmpl w:val="E86C0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C6D7C"/>
    <w:multiLevelType w:val="hybridMultilevel"/>
    <w:tmpl w:val="E86C0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B31"/>
    <w:multiLevelType w:val="hybridMultilevel"/>
    <w:tmpl w:val="B9DA5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2A"/>
    <w:rsid w:val="00091442"/>
    <w:rsid w:val="000A202A"/>
    <w:rsid w:val="000B2E4D"/>
    <w:rsid w:val="000F67F7"/>
    <w:rsid w:val="00105D19"/>
    <w:rsid w:val="00170CE8"/>
    <w:rsid w:val="00186CDA"/>
    <w:rsid w:val="001E4BCD"/>
    <w:rsid w:val="00286233"/>
    <w:rsid w:val="002B325A"/>
    <w:rsid w:val="002B54BD"/>
    <w:rsid w:val="0034124A"/>
    <w:rsid w:val="003773F5"/>
    <w:rsid w:val="003C530F"/>
    <w:rsid w:val="0041027F"/>
    <w:rsid w:val="00494285"/>
    <w:rsid w:val="004C1E17"/>
    <w:rsid w:val="00534CDC"/>
    <w:rsid w:val="00564CC4"/>
    <w:rsid w:val="00592A78"/>
    <w:rsid w:val="005C5811"/>
    <w:rsid w:val="005E3CEE"/>
    <w:rsid w:val="0061396F"/>
    <w:rsid w:val="006565D6"/>
    <w:rsid w:val="00663603"/>
    <w:rsid w:val="0066602B"/>
    <w:rsid w:val="006665B3"/>
    <w:rsid w:val="0080403B"/>
    <w:rsid w:val="0080417C"/>
    <w:rsid w:val="00806C2F"/>
    <w:rsid w:val="008B6B01"/>
    <w:rsid w:val="008C6C4A"/>
    <w:rsid w:val="008E6B66"/>
    <w:rsid w:val="00964964"/>
    <w:rsid w:val="009732F5"/>
    <w:rsid w:val="00995388"/>
    <w:rsid w:val="00A029B8"/>
    <w:rsid w:val="00A13B59"/>
    <w:rsid w:val="00A52A30"/>
    <w:rsid w:val="00A7708F"/>
    <w:rsid w:val="00A9239C"/>
    <w:rsid w:val="00AE3451"/>
    <w:rsid w:val="00B36D32"/>
    <w:rsid w:val="00B60593"/>
    <w:rsid w:val="00C14BFD"/>
    <w:rsid w:val="00C65E63"/>
    <w:rsid w:val="00CC2588"/>
    <w:rsid w:val="00CE718D"/>
    <w:rsid w:val="00DE58A6"/>
    <w:rsid w:val="00E44910"/>
    <w:rsid w:val="00E7090F"/>
    <w:rsid w:val="00E93925"/>
    <w:rsid w:val="00ED7CBB"/>
    <w:rsid w:val="00F03E5C"/>
    <w:rsid w:val="00F72D06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5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02A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0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CE8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02A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0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CE8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Zahumenský</dc:creator>
  <cp:keywords/>
  <dc:description/>
  <cp:lastModifiedBy>Petra Uhlárová</cp:lastModifiedBy>
  <cp:revision>4</cp:revision>
  <dcterms:created xsi:type="dcterms:W3CDTF">2021-02-22T18:15:00Z</dcterms:created>
  <dcterms:modified xsi:type="dcterms:W3CDTF">2021-02-23T08:46:00Z</dcterms:modified>
</cp:coreProperties>
</file>